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772"/>
        <w:gridCol w:w="84"/>
        <w:gridCol w:w="399"/>
        <w:gridCol w:w="590"/>
        <w:gridCol w:w="593"/>
        <w:gridCol w:w="868"/>
        <w:gridCol w:w="756"/>
        <w:gridCol w:w="735"/>
        <w:gridCol w:w="420"/>
        <w:gridCol w:w="206"/>
        <w:gridCol w:w="94"/>
        <w:gridCol w:w="803"/>
        <w:gridCol w:w="379"/>
        <w:gridCol w:w="440"/>
        <w:gridCol w:w="991"/>
        <w:gridCol w:w="43"/>
      </w:tblGrid>
      <w:tr w:rsidR="00F5228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0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90596" cy="962021"/>
                  <wp:effectExtent l="0" t="0" r="4" b="0"/>
                  <wp:docPr id="1" name="drawing" title="C:\Users\user\AppData\Local\Temp\Rar$DIa0.812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96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ERCİYES ÜNİVERSİTESİ</w:t>
            </w:r>
          </w:p>
          <w:p w:rsidR="00F5228E" w:rsidRDefault="007C715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BİLGİ İŞLEM DAİRE BAŞKANLIĞI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9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spacing w:after="0" w:line="240" w:lineRule="auto"/>
            </w:pPr>
          </w:p>
        </w:tc>
        <w:tc>
          <w:tcPr>
            <w:tcW w:w="4262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spacing w:after="0" w:line="240" w:lineRule="auto"/>
            </w:pP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pStyle w:val="stBilgi"/>
              <w:tabs>
                <w:tab w:val="center" w:pos="4536"/>
                <w:tab w:val="right" w:pos="9072"/>
              </w:tabs>
            </w:pPr>
            <w:r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  <w:t>Revizyon Tarihi</w:t>
            </w: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11/03/2022</w:t>
            </w: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9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spacing w:after="0" w:line="240" w:lineRule="auto"/>
            </w:pPr>
          </w:p>
        </w:tc>
        <w:tc>
          <w:tcPr>
            <w:tcW w:w="4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SÜREÇ FORMU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F5228E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5228E" w:rsidRDefault="007C7157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 w:rsidTr="00CD4A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2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 w:rsidTr="00CD4A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2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Sensaway (Ortam İzleme Sistemi) periyodik bakım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süreci.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228E" w:rsidTr="00CD4A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F5228E" w:rsidRDefault="00CD4AD3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C715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Yönetim Süreci</w:t>
            </w:r>
          </w:p>
        </w:tc>
        <w:tc>
          <w:tcPr>
            <w:tcW w:w="2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CD4AD3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7C715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Temel Süreç</w:t>
            </w:r>
          </w:p>
        </w:tc>
        <w:tc>
          <w:tcPr>
            <w:tcW w:w="27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CD4AD3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C715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Destek Süreç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 w:rsidTr="00CD4A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2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Teknolojileri Yönetimi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 w:rsidTr="00CD4A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2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0000"/>
                <w:sz w:val="20"/>
                <w:szCs w:val="20"/>
              </w:rPr>
              <w:t>Altyapı bakım ve işletme işlemleri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Sensaway (Ortam İzleme Sistemi) üzerinden izlenen ortam koşullarının (sıcaklık, nem, enerji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vb.) sürekli takibinin yapılması, sistem bileşenlerinin periyodik bakım ve kontrollerinin gerçekleştirilmesi ve oluşabilecek arızalara en kısa sürede müdahale edilmesi faaliyetlerini kapsar. Bu süreç; sistemin kesintisiz çalışmasını sağlamak, olası riskle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 önceden tespit etmek ve kritik altyapıların güvenliğini garanti altına almak amacıyla yürütülür.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İşlem Daire Başkanlığı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Sistem Yöneticileri / Teknik Personel</w:t>
            </w:r>
          </w:p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 w:rsidP="00CD4AD3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Sensaway sistem uyarıları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Alarm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Periyodik bakım planı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Sensaway yazılımı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ve 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6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Alarm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ve arıza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 çalışma verileri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>Ortam izleme sistemleri için bakım planı oluşturulur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Bakım firması </w:t>
            </w:r>
            <w:r>
              <w:t>eşliğinde sensörlerin ve cihazların kontrol ve bakım işlemlerinin gerçekleştirilir.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>Yapılan bakım ve onarım işlemlerinin test edilmesi ve sistemin kontrol edilmesi.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F6</w:t>
            </w:r>
          </w:p>
        </w:tc>
        <w:tc>
          <w:tcPr>
            <w:tcW w:w="5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>İşlemlerin raporlanması ve kayıt altına alınarak sürecin kapatılm</w:t>
            </w:r>
            <w:bookmarkStart w:id="1" w:name="_GoBack"/>
            <w:bookmarkEnd w:id="1"/>
            <w:r>
              <w:t>ası.</w:t>
            </w: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F522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>Ortam değerleri belirlenen sınırlar içerisinde mi?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Onarım sonrası sistem sistem ikazları düzgün çalışıyor mu (telefon, mail vs)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73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jc w:val="both"/>
            </w:pPr>
            <w:r>
              <w:t>Bakım ve arıza kayıtları sisteme işlendi mi?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228E" w:rsidRDefault="007C715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jc w:val="both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Raporlama Sorumlusu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pStyle w:val="ListeParagraf2"/>
              <w:spacing w:after="0" w:line="240" w:lineRule="auto"/>
              <w:ind w:left="0"/>
            </w:pPr>
          </w:p>
        </w:tc>
      </w:tr>
      <w:tr w:rsidR="00F522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 uygun şekilde tamamlamak.</w:t>
            </w:r>
          </w:p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Bakımın tamamlanma durumu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F522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F81BD"/>
                <w:sz w:val="20"/>
                <w:szCs w:val="20"/>
              </w:rPr>
            </w:pPr>
          </w:p>
          <w:p w:rsidR="00F5228E" w:rsidRDefault="007C7157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rFonts w:ascii="Calibri" w:eastAsia="Calibri" w:hAnsi="Calibri" w:cs="Calibri"/>
                <w:b/>
                <w:bCs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Süre/Sayı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Sürekli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228E" w:rsidRDefault="007C715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Sorumlusu</w:t>
            </w:r>
          </w:p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28E" w:rsidRDefault="00F5228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5228E" w:rsidRDefault="00F5228E"/>
    <w:sectPr w:rsidR="00F5228E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57" w:rsidRDefault="007C7157">
      <w:pPr>
        <w:spacing w:after="0" w:line="240" w:lineRule="auto"/>
      </w:pPr>
      <w:r>
        <w:separator/>
      </w:r>
    </w:p>
  </w:endnote>
  <w:endnote w:type="continuationSeparator" w:id="0">
    <w:p w:rsidR="007C7157" w:rsidRDefault="007C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Unispace"/>
    <w:panose1 w:val="02020609040205080304"/>
    <w:charset w:val="00"/>
    <w:family w:val="modern"/>
    <w:pitch w:val="fixed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57" w:rsidRDefault="007C7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7157" w:rsidRDefault="007C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5228E"/>
    <w:rsid w:val="007C7157"/>
    <w:rsid w:val="00CD4AD3"/>
    <w:rsid w:val="00F5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37D"/>
  <w15:docId w15:val="{54958BB6-A9CE-4E85-9566-7DB29E6B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tr-T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pPr>
      <w:ind w:left="720"/>
    </w:pPr>
  </w:style>
  <w:style w:type="paragraph" w:customStyle="1" w:styleId="ListeParagraf2">
    <w:name w:val="Liste Paragraf2"/>
    <w:basedOn w:val="Normal"/>
    <w:pPr>
      <w:spacing w:after="200"/>
      <w:ind w:left="720"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beker</dc:creator>
  <dc:description/>
  <cp:lastModifiedBy>kadir bayam</cp:lastModifiedBy>
  <cp:revision>2</cp:revision>
  <dcterms:created xsi:type="dcterms:W3CDTF">2026-03-30T11:16:00Z</dcterms:created>
  <dcterms:modified xsi:type="dcterms:W3CDTF">2026-03-30T11:16:00Z</dcterms:modified>
</cp:coreProperties>
</file>