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E80E1A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574F9" w:rsidRPr="00E80E1A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E80E1A" w:rsidRDefault="00B07045" w:rsidP="00850BF6">
            <w:pPr>
              <w:jc w:val="both"/>
              <w:rPr>
                <w:rFonts w:asciiTheme="minorHAnsi" w:hAnsiTheme="minorHAnsi" w:cstheme="minorHAnsi"/>
                <w:smallCaps/>
                <w:color w:val="000000" w:themeColor="text1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Bilgisayar – Sunucu </w:t>
            </w:r>
            <w:proofErr w:type="spellStart"/>
            <w:r w:rsidRPr="00E80E1A">
              <w:rPr>
                <w:rFonts w:asciiTheme="minorHAnsi" w:hAnsiTheme="minorHAnsi" w:cstheme="minorHAnsi"/>
                <w:smallCaps/>
                <w:sz w:val="20"/>
                <w:szCs w:val="20"/>
              </w:rPr>
              <w:t>hek</w:t>
            </w:r>
            <w:proofErr w:type="spellEnd"/>
            <w:r w:rsidRPr="00E80E1A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Süreci</w:t>
            </w:r>
          </w:p>
        </w:tc>
      </w:tr>
      <w:tr w:rsidR="00B574F9" w:rsidRPr="00E80E1A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E80E1A" w:rsidRDefault="00B07045" w:rsidP="00850BF6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○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E80E1A" w:rsidRDefault="00E80E1A" w:rsidP="00B07045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●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E80E1A" w:rsidRDefault="00B07045" w:rsidP="00850BF6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○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E80E1A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E80E1A" w:rsidRDefault="00B07045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717F2B">
              <w:rPr>
                <w:rFonts w:ascii="Calibri" w:hAnsi="Calibri"/>
                <w:bCs/>
                <w:sz w:val="20"/>
                <w:szCs w:val="20"/>
              </w:rPr>
              <w:t>Bilgi Teknolojileri Yönetimi</w:t>
            </w:r>
          </w:p>
        </w:tc>
      </w:tr>
      <w:tr w:rsidR="00B574F9" w:rsidRPr="00E80E1A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E80E1A" w:rsidRDefault="00B07045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Donanım Destek Birimi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Pr="00E80E1A" w:rsidRDefault="002444A3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Hek</w:t>
            </w:r>
            <w:proofErr w:type="spellEnd"/>
            <w:r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Bilgisayar</w:t>
            </w:r>
            <w:r w:rsidR="00E80E1A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lar Kurumlarca Atıl Halde olduğu</w:t>
            </w:r>
            <w:r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düşünüldüğünde </w:t>
            </w:r>
            <w:proofErr w:type="spellStart"/>
            <w:r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Bidb</w:t>
            </w:r>
            <w:proofErr w:type="spellEnd"/>
            <w:r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Bildirilmesi ile başlayan sürecimiz.</w:t>
            </w:r>
          </w:p>
          <w:p w:rsidR="00E80E1A" w:rsidRPr="00E80E1A" w:rsidRDefault="00E80E1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Bilgisayarın </w:t>
            </w:r>
            <w:proofErr w:type="spellStart"/>
            <w:r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Hek</w:t>
            </w:r>
            <w:proofErr w:type="spellEnd"/>
            <w:r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olup olmadığına </w:t>
            </w:r>
            <w:proofErr w:type="spellStart"/>
            <w:r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Bidb'de</w:t>
            </w:r>
            <w:proofErr w:type="spellEnd"/>
            <w:r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çalışan uzmanlarca karar verilir.</w:t>
            </w:r>
          </w:p>
          <w:p w:rsidR="00E80E1A" w:rsidRPr="00E80E1A" w:rsidRDefault="00E80E1A" w:rsidP="00E80E1A">
            <w:pPr>
              <w:pStyle w:val="ListeParagraf"/>
              <w:numPr>
                <w:ilvl w:val="0"/>
                <w:numId w:val="2"/>
              </w:num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 xml:space="preserve">Bu da </w:t>
            </w:r>
            <w:proofErr w:type="spellStart"/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Hek</w:t>
            </w:r>
            <w:proofErr w:type="spellEnd"/>
            <w:r w:rsidRPr="00E80E1A">
              <w:rPr>
                <w:rFonts w:asciiTheme="minorHAnsi" w:hAnsiTheme="minorHAnsi" w:cstheme="minorHAnsi"/>
                <w:sz w:val="20"/>
                <w:szCs w:val="20"/>
              </w:rPr>
              <w:t xml:space="preserve"> olan makinde arıza varsa, Arızanın Hangi Birimce yaptırılacağına karar verilir ve süreç o şekilde devam eder.</w:t>
            </w:r>
          </w:p>
          <w:p w:rsidR="00E80E1A" w:rsidRPr="00186C52" w:rsidRDefault="00E80E1A" w:rsidP="00E80E1A">
            <w:pPr>
              <w:pStyle w:val="ListeParagraf"/>
              <w:numPr>
                <w:ilvl w:val="0"/>
                <w:numId w:val="2"/>
              </w:num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 xml:space="preserve">Ya da Her bir Bilgisayar - Sunucu - Yazıcı ürün için ayrı - ayrı içeriğindeki Donanımları belirtecek şekilde </w:t>
            </w:r>
            <w:proofErr w:type="spellStart"/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Hek</w:t>
            </w:r>
            <w:proofErr w:type="spellEnd"/>
            <w:r w:rsidRPr="00E80E1A">
              <w:rPr>
                <w:rFonts w:asciiTheme="minorHAnsi" w:hAnsiTheme="minorHAnsi" w:cstheme="minorHAnsi"/>
                <w:sz w:val="20"/>
                <w:szCs w:val="20"/>
              </w:rPr>
              <w:t xml:space="preserve"> raporu Düzenlenir. Ve İlgili makinenin parçalarının işe yarayıp, yaramadığına göre parçalar sökülerek tekrar taşınır </w:t>
            </w:r>
            <w:proofErr w:type="spellStart"/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kayıda</w:t>
            </w:r>
            <w:proofErr w:type="spellEnd"/>
            <w:r w:rsidRPr="00E80E1A">
              <w:rPr>
                <w:rFonts w:asciiTheme="minorHAnsi" w:hAnsiTheme="minorHAnsi" w:cstheme="minorHAnsi"/>
                <w:sz w:val="20"/>
                <w:szCs w:val="20"/>
              </w:rPr>
              <w:t xml:space="preserve"> 150 sarf malzemeden değerleme yapılarak girilip, </w:t>
            </w:r>
            <w:proofErr w:type="spellStart"/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Bidb</w:t>
            </w:r>
            <w:proofErr w:type="spellEnd"/>
            <w:r w:rsidRPr="00E80E1A">
              <w:rPr>
                <w:rFonts w:asciiTheme="minorHAnsi" w:hAnsiTheme="minorHAnsi" w:cstheme="minorHAnsi"/>
                <w:sz w:val="20"/>
                <w:szCs w:val="20"/>
              </w:rPr>
              <w:t xml:space="preserve"> Depo arşivde kullanılmak üzere tutulur.</w:t>
            </w:r>
          </w:p>
          <w:p w:rsidR="00EA7C8A" w:rsidRPr="00E80E1A" w:rsidRDefault="00E80E1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 xml:space="preserve">Ve En sonunda </w:t>
            </w:r>
            <w:r w:rsidRPr="00E80E1A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8F9FA"/>
              </w:rPr>
              <w:t>Kişisel Bilgiler İçeren Malzemel</w:t>
            </w:r>
            <w:r w:rsidRPr="00E80E1A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8F9FA"/>
              </w:rPr>
              <w:t>e</w:t>
            </w:r>
            <w:r w:rsidRPr="00E80E1A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8F9FA"/>
              </w:rPr>
              <w:t>r Özellikle İmha edilir.</w:t>
            </w:r>
            <w:r w:rsidRPr="00E80E1A">
              <w:rPr>
                <w:rFonts w:asciiTheme="minorHAnsi" w:hAnsiTheme="minorHAnsi" w:cstheme="minorHAnsi"/>
              </w:rPr>
              <w:t xml:space="preserve"> </w:t>
            </w:r>
            <w:r w:rsidRPr="00E80E1A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8F9FA"/>
              </w:rPr>
              <w:t>Makine Kimyaya Teslim edilmek üzere - Atık ve Geri Dönüşüm birimine gönderilir.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E80E1A" w:rsidRDefault="00E80E1A" w:rsidP="00372F5A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Bilgi İşl</w:t>
            </w:r>
            <w:r w:rsidRPr="00E80E1A">
              <w:rPr>
                <w:rFonts w:asciiTheme="minorHAnsi" w:hAnsiTheme="minorHAnsi" w:cstheme="minorHAnsi"/>
                <w:smallCaps/>
                <w:sz w:val="20"/>
                <w:szCs w:val="20"/>
              </w:rPr>
              <w:t>em Daire başkanlığı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07045" w:rsidRDefault="00B07045" w:rsidP="00B07045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Başkanı</w:t>
            </w:r>
          </w:p>
          <w:p w:rsidR="00B677BF" w:rsidRPr="00B07045" w:rsidRDefault="00B07045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Donanım Deste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k Grubu Sorumlusu (Fatih KOÇ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)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07045" w:rsidRDefault="00B07045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Taşınır Yetkilileri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Sorumluları</w:t>
            </w:r>
          </w:p>
          <w:p w:rsidR="00B07045" w:rsidRDefault="00B07045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Atık Yönetim Birimi</w:t>
            </w:r>
          </w:p>
          <w:p w:rsidR="00B07045" w:rsidRPr="00B07045" w:rsidRDefault="00B07045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Bilgi İşlem Daire Başkanlığı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E80E1A" w:rsidRDefault="00B07045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Hek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Taleplerinin Ulaşması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Pr="00E80E1A" w:rsidRDefault="00B07045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Hek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Uzmanları,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Bencmark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testleri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E80E1A" w:rsidRDefault="00B07045" w:rsidP="00372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Yeniden kullanılabilir donanımlar</w:t>
            </w: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4F9" w:rsidRPr="00E80E1A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E80E1A" w:rsidRDefault="00B07045" w:rsidP="00372F5A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Tamir, Bakım ve Bilişim Destek Süreçleri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E80E1A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E80E1A" w:rsidRDefault="00B0704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07045">
              <w:rPr>
                <w:rFonts w:asciiTheme="minorHAnsi" w:hAnsiTheme="minorHAnsi" w:cstheme="minorHAnsi"/>
                <w:sz w:val="20"/>
                <w:szCs w:val="20"/>
              </w:rPr>
              <w:t>Hek</w:t>
            </w:r>
            <w:proofErr w:type="spellEnd"/>
            <w:r w:rsidRPr="00B07045">
              <w:rPr>
                <w:rFonts w:asciiTheme="minorHAnsi" w:hAnsiTheme="minorHAnsi" w:cstheme="minorHAnsi"/>
                <w:sz w:val="20"/>
                <w:szCs w:val="20"/>
              </w:rPr>
              <w:t xml:space="preserve"> - Bilgisayarlar Kurumlarca Atıl Halde </w:t>
            </w:r>
            <w:proofErr w:type="spellStart"/>
            <w:r w:rsidRPr="00B07045">
              <w:rPr>
                <w:rFonts w:asciiTheme="minorHAnsi" w:hAnsiTheme="minorHAnsi" w:cstheme="minorHAnsi"/>
                <w:sz w:val="20"/>
                <w:szCs w:val="20"/>
              </w:rPr>
              <w:t>olduğı</w:t>
            </w:r>
            <w:proofErr w:type="spellEnd"/>
            <w:r w:rsidRPr="00B07045">
              <w:rPr>
                <w:rFonts w:asciiTheme="minorHAnsi" w:hAnsiTheme="minorHAnsi" w:cstheme="minorHAnsi"/>
                <w:sz w:val="20"/>
                <w:szCs w:val="20"/>
              </w:rPr>
              <w:t xml:space="preserve"> düşünüldüğünde </w:t>
            </w:r>
            <w:proofErr w:type="spellStart"/>
            <w:r w:rsidRPr="00B07045">
              <w:rPr>
                <w:rFonts w:asciiTheme="minorHAnsi" w:hAnsiTheme="minorHAnsi" w:cstheme="minorHAnsi"/>
                <w:sz w:val="20"/>
                <w:szCs w:val="20"/>
              </w:rPr>
              <w:t>Bidb</w:t>
            </w:r>
            <w:proofErr w:type="spellEnd"/>
            <w:r w:rsidRPr="00B07045">
              <w:rPr>
                <w:rFonts w:asciiTheme="minorHAnsi" w:hAnsiTheme="minorHAnsi" w:cstheme="minorHAnsi"/>
                <w:sz w:val="20"/>
                <w:szCs w:val="20"/>
              </w:rPr>
              <w:t xml:space="preserve"> - Bildirilir</w:t>
            </w:r>
          </w:p>
        </w:tc>
        <w:tc>
          <w:tcPr>
            <w:tcW w:w="2872" w:type="dxa"/>
            <w:gridSpan w:val="4"/>
          </w:tcPr>
          <w:p w:rsidR="002A6BAC" w:rsidRPr="00E80E1A" w:rsidRDefault="00B07045" w:rsidP="00365D71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4E09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Birim Taşınır Sorumluları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3A35">
              <w:rPr>
                <w:rFonts w:asciiTheme="minorHAnsi" w:hAnsiTheme="minorHAnsi" w:cstheme="minorHAnsi"/>
                <w:sz w:val="20"/>
                <w:szCs w:val="20"/>
              </w:rPr>
              <w:t xml:space="preserve">Bilgisayarın </w:t>
            </w:r>
            <w:proofErr w:type="spellStart"/>
            <w:r w:rsidRPr="00C83A35">
              <w:rPr>
                <w:rFonts w:asciiTheme="minorHAnsi" w:hAnsiTheme="minorHAnsi" w:cstheme="minorHAnsi"/>
                <w:sz w:val="20"/>
                <w:szCs w:val="20"/>
              </w:rPr>
              <w:t>Hek</w:t>
            </w:r>
            <w:proofErr w:type="spellEnd"/>
            <w:r w:rsidRPr="00C83A35">
              <w:rPr>
                <w:rFonts w:asciiTheme="minorHAnsi" w:hAnsiTheme="minorHAnsi" w:cstheme="minorHAnsi"/>
                <w:sz w:val="20"/>
                <w:szCs w:val="20"/>
              </w:rPr>
              <w:t xml:space="preserve"> olup olmadığına </w:t>
            </w:r>
            <w:proofErr w:type="spellStart"/>
            <w:r w:rsidRPr="00C83A35">
              <w:rPr>
                <w:rFonts w:asciiTheme="minorHAnsi" w:hAnsiTheme="minorHAnsi" w:cstheme="minorHAnsi"/>
                <w:sz w:val="20"/>
                <w:szCs w:val="20"/>
              </w:rPr>
              <w:t>Bidb'de</w:t>
            </w:r>
            <w:proofErr w:type="spellEnd"/>
            <w:r w:rsidRPr="00C83A35">
              <w:rPr>
                <w:rFonts w:asciiTheme="minorHAnsi" w:hAnsiTheme="minorHAnsi" w:cstheme="minorHAnsi"/>
                <w:sz w:val="20"/>
                <w:szCs w:val="20"/>
              </w:rPr>
              <w:t xml:space="preserve"> çalışan uzmanlarca karar verilir</w:t>
            </w:r>
          </w:p>
        </w:tc>
        <w:tc>
          <w:tcPr>
            <w:tcW w:w="2872" w:type="dxa"/>
            <w:gridSpan w:val="4"/>
          </w:tcPr>
          <w:p w:rsidR="00B574F9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İlgili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Komisyonu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Her bir Bilgisayar - Sunucu - Yazıcı ürün için ayrı - ayrı içeriğindeki Donanımları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betirtecek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şekilde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Hek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raporu Düzenlenir.</w:t>
            </w:r>
          </w:p>
        </w:tc>
        <w:tc>
          <w:tcPr>
            <w:tcW w:w="2872" w:type="dxa"/>
            <w:gridSpan w:val="4"/>
          </w:tcPr>
          <w:p w:rsidR="00B574F9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İlgili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Komisyonu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F4</w:t>
            </w:r>
          </w:p>
        </w:tc>
        <w:tc>
          <w:tcPr>
            <w:tcW w:w="6341" w:type="dxa"/>
            <w:gridSpan w:val="8"/>
          </w:tcPr>
          <w:p w:rsidR="00B574F9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3A35">
              <w:rPr>
                <w:rFonts w:asciiTheme="minorHAnsi" w:hAnsiTheme="minorHAnsi" w:cstheme="minorHAnsi"/>
                <w:sz w:val="20"/>
                <w:szCs w:val="20"/>
              </w:rPr>
              <w:t>Hek</w:t>
            </w:r>
            <w:proofErr w:type="spellEnd"/>
            <w:r w:rsidRPr="00C83A35">
              <w:rPr>
                <w:rFonts w:asciiTheme="minorHAnsi" w:hAnsiTheme="minorHAnsi" w:cstheme="minorHAnsi"/>
                <w:sz w:val="20"/>
                <w:szCs w:val="20"/>
              </w:rPr>
              <w:t xml:space="preserve"> Kare Kod Fişi (30'lu Kare Kod yapışkan) Kasaya </w:t>
            </w:r>
            <w:proofErr w:type="spellStart"/>
            <w:r w:rsidRPr="00C83A35">
              <w:rPr>
                <w:rFonts w:asciiTheme="minorHAnsi" w:hAnsiTheme="minorHAnsi" w:cstheme="minorHAnsi"/>
                <w:sz w:val="20"/>
                <w:szCs w:val="20"/>
              </w:rPr>
              <w:t>yapıştırılr</w:t>
            </w:r>
            <w:proofErr w:type="spellEnd"/>
            <w:r w:rsidRPr="00C83A35">
              <w:rPr>
                <w:rFonts w:asciiTheme="minorHAnsi" w:hAnsiTheme="minorHAnsi" w:cstheme="minorHAnsi"/>
                <w:sz w:val="20"/>
                <w:szCs w:val="20"/>
              </w:rPr>
              <w:t xml:space="preserve">. Ve Kasanın içine geri kalanı konarak </w:t>
            </w:r>
            <w:proofErr w:type="spellStart"/>
            <w:r w:rsidRPr="00C83A35">
              <w:rPr>
                <w:rFonts w:asciiTheme="minorHAnsi" w:hAnsiTheme="minorHAnsi" w:cstheme="minorHAnsi"/>
                <w:sz w:val="20"/>
                <w:szCs w:val="20"/>
              </w:rPr>
              <w:t>Bidb'ye</w:t>
            </w:r>
            <w:proofErr w:type="spellEnd"/>
            <w:r w:rsidRPr="00C83A35">
              <w:rPr>
                <w:rFonts w:asciiTheme="minorHAnsi" w:hAnsiTheme="minorHAnsi" w:cstheme="minorHAnsi"/>
                <w:sz w:val="20"/>
                <w:szCs w:val="20"/>
              </w:rPr>
              <w:t xml:space="preserve"> gönderilir.</w:t>
            </w:r>
          </w:p>
        </w:tc>
        <w:tc>
          <w:tcPr>
            <w:tcW w:w="2872" w:type="dxa"/>
            <w:gridSpan w:val="4"/>
          </w:tcPr>
          <w:p w:rsidR="00B574F9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İlgili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Komisyonu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B574F9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3A35">
              <w:rPr>
                <w:rFonts w:asciiTheme="minorHAnsi" w:hAnsiTheme="minorHAnsi" w:cstheme="minorHAnsi"/>
                <w:sz w:val="20"/>
                <w:szCs w:val="20"/>
              </w:rPr>
              <w:t>Bilgisayarın ya da sunucunun arızalı veya çalışan parçaları ayrılır ve her parçaya Fiş (Kare Kod) yapıştırılır.</w:t>
            </w:r>
            <w:bookmarkStart w:id="0" w:name="_GoBack"/>
            <w:bookmarkEnd w:id="0"/>
          </w:p>
        </w:tc>
        <w:tc>
          <w:tcPr>
            <w:tcW w:w="2872" w:type="dxa"/>
            <w:gridSpan w:val="4"/>
          </w:tcPr>
          <w:p w:rsidR="00B574F9" w:rsidRPr="00E80E1A" w:rsidRDefault="00C83A35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Donanım Destek Birimi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B574F9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Parçalar Çalışıyor Mu?</w:t>
            </w:r>
          </w:p>
        </w:tc>
        <w:tc>
          <w:tcPr>
            <w:tcW w:w="2872" w:type="dxa"/>
            <w:gridSpan w:val="4"/>
          </w:tcPr>
          <w:p w:rsidR="00B574F9" w:rsidRPr="00E80E1A" w:rsidRDefault="00C83A35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Donanım Destek Birimi</w:t>
            </w:r>
          </w:p>
        </w:tc>
      </w:tr>
      <w:tr w:rsidR="00B574F9" w:rsidRPr="00E80E1A" w:rsidTr="00365D71">
        <w:trPr>
          <w:cantSplit/>
          <w:trHeight w:val="349"/>
        </w:trPr>
        <w:tc>
          <w:tcPr>
            <w:tcW w:w="496" w:type="dxa"/>
          </w:tcPr>
          <w:p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B574F9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Parçalar -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Bidb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Depoya sarf malzeme kaydı ile 150 ile girişi yapılır.</w:t>
            </w:r>
          </w:p>
        </w:tc>
        <w:tc>
          <w:tcPr>
            <w:tcW w:w="2872" w:type="dxa"/>
            <w:gridSpan w:val="4"/>
          </w:tcPr>
          <w:p w:rsidR="00B574F9" w:rsidRPr="00E80E1A" w:rsidRDefault="00C83A35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Bidb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Taşınır Yetkilisi</w:t>
            </w:r>
          </w:p>
        </w:tc>
      </w:tr>
      <w:tr w:rsidR="00EA7C8A" w:rsidRPr="00E80E1A" w:rsidTr="00365D71">
        <w:trPr>
          <w:cantSplit/>
          <w:trHeight w:val="349"/>
        </w:trPr>
        <w:tc>
          <w:tcPr>
            <w:tcW w:w="496" w:type="dxa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EA7C8A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Kişisel Bilgiler İçeren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Malzemelr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Özellikle İmha edilir.</w:t>
            </w:r>
          </w:p>
        </w:tc>
        <w:tc>
          <w:tcPr>
            <w:tcW w:w="2872" w:type="dxa"/>
            <w:gridSpan w:val="4"/>
          </w:tcPr>
          <w:p w:rsidR="00EA7C8A" w:rsidRPr="00E80E1A" w:rsidRDefault="00C83A35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Donanım Destek Birimi</w:t>
            </w:r>
          </w:p>
        </w:tc>
      </w:tr>
      <w:tr w:rsidR="00EA7C8A" w:rsidRPr="00E80E1A" w:rsidTr="00365D71">
        <w:trPr>
          <w:cantSplit/>
          <w:trHeight w:val="349"/>
        </w:trPr>
        <w:tc>
          <w:tcPr>
            <w:tcW w:w="496" w:type="dxa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</w:tcPr>
          <w:p w:rsidR="00EA7C8A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3A35">
              <w:rPr>
                <w:rFonts w:asciiTheme="minorHAnsi" w:hAnsiTheme="minorHAnsi" w:cstheme="minorHAnsi"/>
                <w:sz w:val="20"/>
                <w:szCs w:val="20"/>
              </w:rPr>
              <w:t>Makine Kimyaya Teslim edilmek üzere - Atık ve Geri Dönüşüm birimine gönderilir</w:t>
            </w:r>
          </w:p>
        </w:tc>
        <w:tc>
          <w:tcPr>
            <w:tcW w:w="2872" w:type="dxa"/>
            <w:gridSpan w:val="4"/>
          </w:tcPr>
          <w:p w:rsidR="00EA7C8A" w:rsidRPr="00E80E1A" w:rsidRDefault="00C83A35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Donanım Destek Birimi</w:t>
            </w: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E80E1A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E80E1A" w:rsidTr="00365D71">
        <w:trPr>
          <w:cantSplit/>
          <w:trHeight w:val="349"/>
        </w:trPr>
        <w:tc>
          <w:tcPr>
            <w:tcW w:w="496" w:type="dxa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4184E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EA7C8A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Bilgisayar ve Sunucunun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olup olmadığına, arızalı ise arıza çözüm maliyetinin uygun olup olmadığına karar, geri dönüşüm işleminin uygun olup olmadığına karar verir.</w:t>
            </w:r>
          </w:p>
        </w:tc>
      </w:tr>
      <w:tr w:rsidR="00EA7C8A" w:rsidRPr="00E80E1A" w:rsidTr="00365D71">
        <w:trPr>
          <w:cantSplit/>
          <w:trHeight w:val="349"/>
        </w:trPr>
        <w:tc>
          <w:tcPr>
            <w:tcW w:w="496" w:type="dxa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F6</w:t>
            </w:r>
          </w:p>
        </w:tc>
        <w:tc>
          <w:tcPr>
            <w:tcW w:w="8363" w:type="dxa"/>
            <w:gridSpan w:val="11"/>
          </w:tcPr>
          <w:p w:rsidR="00EA7C8A" w:rsidRPr="00E80E1A" w:rsidRDefault="00C83A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Hek’e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ayrılacak bilgisayar içerisindeki çalışan parçaların çalıştığı kontrol edilir.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Çalışıryorsa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Donanım depoya kaldırılmak üzere, Taşınır kaydı yenden değerleme ile girilir.</w:t>
            </w:r>
          </w:p>
        </w:tc>
      </w:tr>
      <w:tr w:rsidR="00EA7C8A" w:rsidRPr="00E80E1A" w:rsidTr="00365D71">
        <w:trPr>
          <w:cantSplit/>
          <w:trHeight w:val="349"/>
        </w:trPr>
        <w:tc>
          <w:tcPr>
            <w:tcW w:w="496" w:type="dxa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4F9" w:rsidRPr="00E80E1A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E80E1A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E80E1A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E80E1A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B574F9" w:rsidRPr="00E80E1A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E80E1A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E80E1A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E80E1A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Sorumlu</w:t>
            </w: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EA7C8A" w:rsidRPr="00E80E1A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4E09E3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 w:rsidRPr="004E09E3"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 xml:space="preserve">Kişisel Bilgilerin Geri </w:t>
            </w:r>
            <w:proofErr w:type="spellStart"/>
            <w:r w:rsidRPr="004E09E3"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DÖnülmez</w:t>
            </w:r>
            <w:proofErr w:type="spellEnd"/>
            <w:r w:rsidRPr="004E09E3"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 xml:space="preserve"> Şekilde Silinmesi</w:t>
            </w:r>
          </w:p>
        </w:tc>
        <w:tc>
          <w:tcPr>
            <w:tcW w:w="2835" w:type="dxa"/>
            <w:gridSpan w:val="2"/>
          </w:tcPr>
          <w:p w:rsidR="00EA7C8A" w:rsidRPr="00E80E1A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Yıllık İmha miktarı</w:t>
            </w:r>
          </w:p>
        </w:tc>
        <w:tc>
          <w:tcPr>
            <w:tcW w:w="567" w:type="dxa"/>
          </w:tcPr>
          <w:p w:rsidR="00EA7C8A" w:rsidRPr="00E80E1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FF000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EA7C8A" w:rsidRPr="00E80E1A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Adet</w:t>
            </w:r>
          </w:p>
        </w:tc>
        <w:tc>
          <w:tcPr>
            <w:tcW w:w="850" w:type="dxa"/>
          </w:tcPr>
          <w:p w:rsidR="00EA7C8A" w:rsidRPr="00E80E1A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Yıllık</w:t>
            </w:r>
          </w:p>
        </w:tc>
        <w:tc>
          <w:tcPr>
            <w:tcW w:w="1559" w:type="dxa"/>
          </w:tcPr>
          <w:p w:rsidR="00EA7C8A" w:rsidRPr="00E80E1A" w:rsidRDefault="00186C52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Fatih Koç</w:t>
            </w:r>
          </w:p>
        </w:tc>
      </w:tr>
      <w:tr w:rsidR="00EA7C8A" w:rsidRPr="00E80E1A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4E09E3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 w:rsidRPr="004E09E3"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Atık Malzemelerin Geri Kazanımı</w:t>
            </w:r>
          </w:p>
        </w:tc>
        <w:tc>
          <w:tcPr>
            <w:tcW w:w="2835" w:type="dxa"/>
            <w:gridSpan w:val="2"/>
          </w:tcPr>
          <w:p w:rsidR="00EA7C8A" w:rsidRPr="00E80E1A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Geri Kazanım değerleme fiyatı</w:t>
            </w:r>
          </w:p>
        </w:tc>
        <w:tc>
          <w:tcPr>
            <w:tcW w:w="567" w:type="dxa"/>
          </w:tcPr>
          <w:p w:rsidR="00EA7C8A" w:rsidRPr="00E80E1A" w:rsidRDefault="00186C52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EA7C8A" w:rsidRPr="00E80E1A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Parasal</w:t>
            </w:r>
          </w:p>
        </w:tc>
        <w:tc>
          <w:tcPr>
            <w:tcW w:w="850" w:type="dxa"/>
          </w:tcPr>
          <w:p w:rsidR="00EA7C8A" w:rsidRPr="00E80E1A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Yıllık</w:t>
            </w:r>
          </w:p>
        </w:tc>
        <w:tc>
          <w:tcPr>
            <w:tcW w:w="1559" w:type="dxa"/>
          </w:tcPr>
          <w:p w:rsidR="00EA7C8A" w:rsidRPr="00E80E1A" w:rsidRDefault="00186C52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Fatih Koç</w:t>
            </w:r>
          </w:p>
        </w:tc>
      </w:tr>
      <w:tr w:rsidR="00EA7C8A" w:rsidRPr="00E80E1A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4E09E3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 w:rsidRPr="004E09E3"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Atık Malzemelerin Kullanımı</w:t>
            </w:r>
          </w:p>
        </w:tc>
        <w:tc>
          <w:tcPr>
            <w:tcW w:w="2835" w:type="dxa"/>
            <w:gridSpan w:val="2"/>
          </w:tcPr>
          <w:p w:rsidR="00EA7C8A" w:rsidRPr="00E80E1A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İyişleştirme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Sürecinde Kullanımları</w:t>
            </w:r>
          </w:p>
        </w:tc>
        <w:tc>
          <w:tcPr>
            <w:tcW w:w="567" w:type="dxa"/>
          </w:tcPr>
          <w:p w:rsidR="00EA7C8A" w:rsidRPr="00E80E1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EA7C8A" w:rsidRPr="00E80E1A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Performans</w:t>
            </w:r>
          </w:p>
        </w:tc>
        <w:tc>
          <w:tcPr>
            <w:tcW w:w="850" w:type="dxa"/>
          </w:tcPr>
          <w:p w:rsidR="00EA7C8A" w:rsidRPr="00E80E1A" w:rsidRDefault="00186C52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Aylık</w:t>
            </w:r>
          </w:p>
        </w:tc>
        <w:tc>
          <w:tcPr>
            <w:tcW w:w="1559" w:type="dxa"/>
          </w:tcPr>
          <w:p w:rsidR="00EA7C8A" w:rsidRPr="00E80E1A" w:rsidRDefault="00186C52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Fatih Koç</w:t>
            </w:r>
          </w:p>
        </w:tc>
      </w:tr>
    </w:tbl>
    <w:p w:rsidR="00B574F9" w:rsidRPr="00E80E1A" w:rsidRDefault="00B574F9" w:rsidP="000A71F5">
      <w:pPr>
        <w:rPr>
          <w:rFonts w:asciiTheme="minorHAnsi" w:hAnsiTheme="minorHAnsi" w:cstheme="minorHAnsi"/>
        </w:rPr>
      </w:pPr>
    </w:p>
    <w:p w:rsidR="008D4830" w:rsidRPr="00E80E1A" w:rsidRDefault="008D4830" w:rsidP="000A71F5">
      <w:pPr>
        <w:rPr>
          <w:rFonts w:asciiTheme="minorHAnsi" w:hAnsiTheme="minorHAnsi" w:cstheme="minorHAnsi"/>
        </w:rPr>
      </w:pPr>
    </w:p>
    <w:p w:rsidR="008D4830" w:rsidRPr="00E80E1A" w:rsidRDefault="008D4830" w:rsidP="000A71F5">
      <w:pPr>
        <w:rPr>
          <w:rFonts w:asciiTheme="minorHAnsi" w:hAnsiTheme="minorHAnsi" w:cstheme="minorHAnsi"/>
        </w:rPr>
      </w:pPr>
    </w:p>
    <w:p w:rsidR="008D4830" w:rsidRPr="00E80E1A" w:rsidRDefault="008D4830" w:rsidP="000A71F5">
      <w:pPr>
        <w:rPr>
          <w:rFonts w:asciiTheme="minorHAnsi" w:hAnsiTheme="minorHAnsi" w:cstheme="minorHAnsi"/>
        </w:rPr>
      </w:pPr>
    </w:p>
    <w:p w:rsidR="008D4830" w:rsidRPr="00E80E1A" w:rsidRDefault="008D4830" w:rsidP="000A71F5">
      <w:pPr>
        <w:rPr>
          <w:rFonts w:asciiTheme="minorHAnsi" w:hAnsiTheme="minorHAnsi" w:cstheme="minorHAnsi"/>
        </w:rPr>
      </w:pPr>
    </w:p>
    <w:p w:rsidR="008D4830" w:rsidRPr="00E80E1A" w:rsidRDefault="008D4830" w:rsidP="000A71F5">
      <w:pPr>
        <w:rPr>
          <w:rFonts w:asciiTheme="minorHAnsi" w:hAnsiTheme="minorHAnsi" w:cstheme="minorHAnsi"/>
        </w:rPr>
      </w:pPr>
    </w:p>
    <w:sectPr w:rsidR="008D4830" w:rsidRPr="00E80E1A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B8" w:rsidRDefault="00A504B8" w:rsidP="006A31BE">
      <w:r>
        <w:separator/>
      </w:r>
    </w:p>
  </w:endnote>
  <w:endnote w:type="continuationSeparator" w:id="0">
    <w:p w:rsidR="00A504B8" w:rsidRDefault="00A504B8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B8" w:rsidRDefault="00A504B8" w:rsidP="006A31BE">
      <w:r>
        <w:separator/>
      </w:r>
    </w:p>
  </w:footnote>
  <w:footnote w:type="continuationSeparator" w:id="0">
    <w:p w:rsidR="00A504B8" w:rsidRDefault="00A504B8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EA7C8A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BİRİM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sz w:val="16"/>
              <w:szCs w:val="16"/>
            </w:rPr>
            <w:t>..</w:t>
          </w:r>
          <w:proofErr w:type="gramEnd"/>
          <w:r>
            <w:rPr>
              <w:rFonts w:asciiTheme="minorHAnsi" w:hAnsiTheme="minorHAnsi"/>
              <w:sz w:val="16"/>
              <w:szCs w:val="16"/>
            </w:rPr>
            <w:t>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4E09E3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4E09E3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1325"/>
    <w:multiLevelType w:val="hybridMultilevel"/>
    <w:tmpl w:val="3FF4C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1FC3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86C52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44A3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09E3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5883"/>
    <w:rsid w:val="00906980"/>
    <w:rsid w:val="00906A8A"/>
    <w:rsid w:val="00907311"/>
    <w:rsid w:val="0091207C"/>
    <w:rsid w:val="00917013"/>
    <w:rsid w:val="00932C4F"/>
    <w:rsid w:val="00936096"/>
    <w:rsid w:val="0095373A"/>
    <w:rsid w:val="0096009D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4B8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07045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A35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A2BA0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E1A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53A7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B8ED5-F00C-43F5-8280-11072BB1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2023-05-29T06:26:00Z</dcterms:created>
  <dcterms:modified xsi:type="dcterms:W3CDTF">2023-05-29T07:22:00Z</dcterms:modified>
</cp:coreProperties>
</file>