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367"/>
        <w:gridCol w:w="65"/>
        <w:gridCol w:w="1976"/>
        <w:gridCol w:w="510"/>
        <w:gridCol w:w="709"/>
        <w:gridCol w:w="992"/>
        <w:gridCol w:w="36"/>
        <w:gridCol w:w="199"/>
        <w:gridCol w:w="616"/>
        <w:gridCol w:w="2057"/>
      </w:tblGrid>
      <w:tr w:rsidR="00B574F9" w:rsidRPr="00D915FD" w:rsidTr="00D908B0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D908B0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C74525" w:rsidRDefault="00C74525" w:rsidP="00C745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B-2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b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B574F9" w:rsidRPr="00F65B4F" w:rsidTr="00D908B0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F215B2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Ek ders ödemeleri</w:t>
            </w:r>
          </w:p>
        </w:tc>
        <w:bookmarkStart w:id="0" w:name="_GoBack"/>
        <w:bookmarkEnd w:id="0"/>
      </w:tr>
      <w:tr w:rsidR="00B574F9" w:rsidRPr="00F65B4F" w:rsidTr="00D908B0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851E87">
              <w:rPr>
                <w:sz w:val="20"/>
                <w:szCs w:val="20"/>
              </w:rPr>
            </w:r>
            <w:r w:rsidR="00851E8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5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851E87">
              <w:rPr>
                <w:sz w:val="20"/>
                <w:szCs w:val="20"/>
              </w:rPr>
            </w:r>
            <w:r w:rsidR="00851E87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:rsidR="00B574F9" w:rsidRPr="00DB1D9D" w:rsidRDefault="00F215B2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1E87">
              <w:rPr>
                <w:sz w:val="20"/>
                <w:szCs w:val="20"/>
              </w:rPr>
            </w:r>
            <w:r w:rsidR="00851E8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D908B0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F215B2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Muhasebe</w:t>
            </w:r>
          </w:p>
        </w:tc>
      </w:tr>
      <w:tr w:rsidR="00B574F9" w:rsidRPr="00F65B4F" w:rsidTr="00D908B0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C74525" w:rsidRDefault="00C74525" w:rsidP="00C74525">
            <w:pPr>
              <w:spacing w:before="120" w:line="256" w:lineRule="auto"/>
              <w:contextualSpacing/>
              <w:jc w:val="both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9523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523D">
              <w:rPr>
                <w:sz w:val="20"/>
              </w:rPr>
              <w:t>Ödeme süreçleri</w:t>
            </w:r>
          </w:p>
        </w:tc>
      </w:tr>
      <w:tr w:rsidR="00B574F9" w:rsidRPr="00C809A6" w:rsidTr="00D908B0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200E88" w:rsidRPr="00351A1D" w:rsidTr="00D908B0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200E88" w:rsidRPr="004770FA" w:rsidRDefault="00200E88" w:rsidP="00FE055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Süreç, personel giderlerinin bir bölümünü oluşturan ek ders</w:t>
            </w:r>
            <w:r w:rsidR="00FE055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ödemelerinin doğru ve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eksiksiz olarak</w:t>
            </w:r>
            <w:r w:rsidR="00FE055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yersiz ödemeye mahal vermeyecek şekilde gerçekleştirilmesi için yapılması gereken kontrol faaliyetlerinin bütününü kapsamaktadır.</w:t>
            </w:r>
          </w:p>
        </w:tc>
      </w:tr>
      <w:tr w:rsidR="00200E88" w:rsidRPr="00C809A6" w:rsidTr="00D908B0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00E88" w:rsidRPr="00C809A6" w:rsidRDefault="00200E88" w:rsidP="00200E8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200E88" w:rsidRPr="00351A1D" w:rsidTr="00D908B0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00E88" w:rsidRPr="002612BD" w:rsidRDefault="00200E88" w:rsidP="00200E88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</w:tcPr>
          <w:p w:rsidR="00200E88" w:rsidRPr="00351A1D" w:rsidRDefault="00200E88" w:rsidP="00200E88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Muhasebe Yetkilisi</w:t>
            </w:r>
          </w:p>
        </w:tc>
      </w:tr>
      <w:tr w:rsidR="00200E88" w:rsidRPr="00351A1D" w:rsidTr="00D908B0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00E88" w:rsidRPr="002612BD" w:rsidRDefault="00200E88" w:rsidP="00200E8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</w:tcPr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Strateji Geliştirme Daire Başkanı </w:t>
            </w:r>
          </w:p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Yetkilisi</w:t>
            </w:r>
          </w:p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200E88" w:rsidRPr="00616BF8" w:rsidRDefault="00200E88" w:rsidP="00200E88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Memur</w:t>
            </w:r>
          </w:p>
        </w:tc>
      </w:tr>
      <w:tr w:rsidR="00200E88" w:rsidRPr="00351A1D" w:rsidTr="00D908B0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00E88" w:rsidRPr="002612BD" w:rsidRDefault="00200E88" w:rsidP="00200E88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</w:tcPr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Birim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Mutemeti</w:t>
            </w:r>
            <w:proofErr w:type="spellEnd"/>
          </w:p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200E88" w:rsidRPr="00351A1D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bankalar</w:t>
            </w:r>
          </w:p>
        </w:tc>
      </w:tr>
      <w:tr w:rsidR="00200E88" w:rsidRPr="00C809A6" w:rsidTr="00D908B0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00E88" w:rsidRPr="00C809A6" w:rsidRDefault="00200E88" w:rsidP="00200E8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200E88" w:rsidRPr="00351A1D" w:rsidTr="00D908B0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00E88" w:rsidRPr="002612BD" w:rsidRDefault="00200E88" w:rsidP="00200E88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</w:tcPr>
          <w:p w:rsidR="00200E88" w:rsidRPr="00DE2F0E" w:rsidRDefault="00200E88" w:rsidP="00200E8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Ödeme emri belgesi ve ilgili mevzuatı gereğince eklenmesi öngörülen eki belgeler</w:t>
            </w:r>
          </w:p>
        </w:tc>
      </w:tr>
      <w:tr w:rsidR="00200E88" w:rsidRPr="00351A1D" w:rsidTr="00D908B0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00E88" w:rsidRPr="002612BD" w:rsidRDefault="00200E88" w:rsidP="00200E8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</w:tcPr>
          <w:p w:rsidR="00200E88" w:rsidRDefault="00200E88" w:rsidP="00200E8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Yönetimi ve kontrol Kanunu</w:t>
            </w:r>
          </w:p>
          <w:p w:rsidR="00200E88" w:rsidRDefault="00200E88" w:rsidP="00200E8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2547 sayılı Yükseköğretim Kanunu</w:t>
            </w:r>
          </w:p>
          <w:p w:rsidR="00200E88" w:rsidRDefault="00200E88" w:rsidP="00200E8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2914 sayılı Yükseköğretim Personel Kanunu</w:t>
            </w:r>
          </w:p>
          <w:p w:rsidR="00200E88" w:rsidRDefault="00200E88" w:rsidP="00200E8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Ders Yükü Tespiti ve Ek Ders Ödemeleri Usul ve Esasları</w:t>
            </w:r>
          </w:p>
          <w:p w:rsidR="00200E88" w:rsidRDefault="00200E88" w:rsidP="00200E8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Merkezi Yönetim Harcama Belgeleri Yönetmeliği</w:t>
            </w:r>
          </w:p>
          <w:p w:rsidR="00200E88" w:rsidRDefault="00200E88" w:rsidP="00200E8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Merkezi Yönetim Muhasebe Yönetmeliği</w:t>
            </w:r>
          </w:p>
          <w:p w:rsidR="00200E88" w:rsidRDefault="006848EB" w:rsidP="00200E8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Muhasebat</w:t>
            </w:r>
            <w:r w:rsidR="00200E8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Genel Müdürlüğü Genel Tebliği (Sıra No: 43)</w:t>
            </w:r>
          </w:p>
          <w:p w:rsidR="00200E88" w:rsidRPr="002C1DCE" w:rsidRDefault="00200E88" w:rsidP="00200E8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Bütünleşik Kamu Mali Yönetim Sistemi (MYS)</w:t>
            </w:r>
          </w:p>
        </w:tc>
      </w:tr>
      <w:tr w:rsidR="00200E88" w:rsidRPr="00351A1D" w:rsidTr="00D908B0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00E88" w:rsidRPr="00CC1746" w:rsidRDefault="00200E88" w:rsidP="00200E8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</w:tcPr>
          <w:p w:rsidR="00200E88" w:rsidRPr="0068435B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 Ders Ücretleri</w:t>
            </w:r>
          </w:p>
        </w:tc>
      </w:tr>
      <w:tr w:rsidR="00200E88" w:rsidRPr="00351A1D" w:rsidTr="00D908B0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00E88" w:rsidRPr="00CC1746" w:rsidRDefault="00200E88" w:rsidP="00200E8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</w:tcPr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Stratejik plan hazırlama süreci</w:t>
            </w:r>
          </w:p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Bütçe hazırlama süreci</w:t>
            </w:r>
          </w:p>
          <w:p w:rsidR="00200E88" w:rsidRPr="0068435B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Hazine yardımı talep süreci</w:t>
            </w:r>
          </w:p>
        </w:tc>
      </w:tr>
      <w:tr w:rsidR="00200E88" w:rsidRPr="00351A1D" w:rsidTr="00D908B0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200E88" w:rsidRPr="00CC1746" w:rsidRDefault="00200E88" w:rsidP="00200E8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8"/>
          </w:tcPr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Ayrıntılı Finansman Programı (AFP) hazırlama süreci</w:t>
            </w:r>
          </w:p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Performans programı hazırlama süreci</w:t>
            </w:r>
          </w:p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Faaliyet raporu hazırlama süreci</w:t>
            </w:r>
          </w:p>
          <w:p w:rsidR="00200E88" w:rsidRPr="00996275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996275">
              <w:rPr>
                <w:rFonts w:ascii="Calibri" w:hAnsi="Calibri" w:cs="Calibri"/>
                <w:sz w:val="20"/>
                <w:szCs w:val="20"/>
              </w:rPr>
              <w:t>ütçe raporlama süreci</w:t>
            </w:r>
          </w:p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İcra-nafaka kesintisi ödeme süreçleri</w:t>
            </w:r>
          </w:p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Sosyal güvenlik kesintileri ödeme süreci</w:t>
            </w:r>
          </w:p>
          <w:p w:rsidR="00200E88" w:rsidRPr="00574E45" w:rsidRDefault="00200E88" w:rsidP="00200E88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Vergi beyanname süreci</w:t>
            </w:r>
          </w:p>
        </w:tc>
      </w:tr>
      <w:tr w:rsidR="00200E88" w:rsidRPr="00C809A6" w:rsidTr="00D908B0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00E88" w:rsidRPr="00C809A6" w:rsidRDefault="00200E88" w:rsidP="00200E8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200E88" w:rsidRPr="004E3ABC" w:rsidTr="00D908B0">
        <w:trPr>
          <w:cantSplit/>
          <w:trHeight w:val="362"/>
        </w:trPr>
        <w:tc>
          <w:tcPr>
            <w:tcW w:w="496" w:type="dxa"/>
            <w:vAlign w:val="center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9"/>
            <w:vAlign w:val="center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3"/>
            <w:vAlign w:val="center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Harcama birimi tarafından hazırlanan ödeme emri belgesi ve eki kanıtlayıcı belgeler ödemenin türüne göre mevzuatta öngörülen süre içerisinde Başkanlığımız muhasebe birimine gönderilir.</w:t>
            </w:r>
          </w:p>
        </w:tc>
        <w:tc>
          <w:tcPr>
            <w:tcW w:w="2872" w:type="dxa"/>
            <w:gridSpan w:val="3"/>
          </w:tcPr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200E88" w:rsidRDefault="00200E88" w:rsidP="00200E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200E88" w:rsidRPr="00C06B2B" w:rsidRDefault="00200E88" w:rsidP="00200E88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Mutemetti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Gönderilen ödeme emri belgeleri muhasebe birimi personeli tarafından ilgili mevzuata uygunluk yönünden süresi içerisinde incelenir.</w:t>
            </w:r>
          </w:p>
        </w:tc>
        <w:tc>
          <w:tcPr>
            <w:tcW w:w="2872" w:type="dxa"/>
            <w:gridSpan w:val="3"/>
          </w:tcPr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Mevzuat açısından eksik ya da hatalı olduğu tespit edilen ödeme evrakları gerekli düzeltmelerin yapılması ve eksikliklerin giderilmesi için </w:t>
            </w:r>
            <w:r w:rsidRPr="0099598D">
              <w:rPr>
                <w:rFonts w:asciiTheme="minorHAnsi" w:hAnsiTheme="minorHAnsi"/>
                <w:sz w:val="20"/>
                <w:szCs w:val="20"/>
              </w:rPr>
              <w:t xml:space="preserve">gerekçeleri ile birlikte ilgili </w:t>
            </w:r>
            <w:r>
              <w:rPr>
                <w:rFonts w:asciiTheme="minorHAnsi" w:hAnsiTheme="minorHAnsi"/>
                <w:sz w:val="20"/>
                <w:szCs w:val="20"/>
              </w:rPr>
              <w:t>harcama birimine MYS üzerinden ve fiziki olarak süresi içerisinde iade edilir.</w:t>
            </w:r>
          </w:p>
        </w:tc>
        <w:tc>
          <w:tcPr>
            <w:tcW w:w="2872" w:type="dxa"/>
            <w:gridSpan w:val="3"/>
          </w:tcPr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Mevzuata uygunluğu belirlenen ya da ilgili birim tarafından hata/eksikleri giderilerek birimimize yeniden gönderilen ödeme evrakları Birimimiz muhasebe personeli tarafından mevzuata uygunluğunun anlaşılması durumunda MYS üzerinden belge veya T.C./ vergi kimlik numarası ile sorgulanarak görüntülen ödeme belgesi muhasebe kaydı açısından da kontrol edildikten sonra onaylama işlemi gerçekleştirilerek muhasebe yetkilisine sunulur.</w:t>
            </w:r>
            <w:proofErr w:type="gramEnd"/>
          </w:p>
        </w:tc>
        <w:tc>
          <w:tcPr>
            <w:tcW w:w="2872" w:type="dxa"/>
            <w:gridSpan w:val="3"/>
          </w:tcPr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200E88" w:rsidRDefault="00200E88" w:rsidP="00200E8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Muhasebe yetkilisince mevzuata uygunluk açısından yeniden incelenen evrak üzerinde gözden kaçan bir hata/eksiklik tespit edilirse F3-F4 süreçleri uygulanır, mevzuata uygun olduğu anlaşılan ödeme evrakları ise muhasebe yetkilisi tarafından MYS üzerinden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yevmiyeleştirilir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Harcama biriminden gönderilen ödeme evrakının aslı muhasebe yetkilisi tarafından ıslak imza ile imzalanır.</w:t>
            </w:r>
          </w:p>
        </w:tc>
        <w:tc>
          <w:tcPr>
            <w:tcW w:w="2872" w:type="dxa"/>
            <w:gridSpan w:val="3"/>
          </w:tcPr>
          <w:p w:rsidR="00200E88" w:rsidRPr="002F6538" w:rsidRDefault="00200E88" w:rsidP="00200E8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MYS üzerinden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yevmiyeleştirilen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ödeme evrakı sistem aracılığıyla banka listesine eklenir. Muhasebe yetkilisi tarafından bu listeye uygun olarak hazırlanan gönderme emri belgesi ve eki banka listesinde yer alan tutarların </w:t>
            </w:r>
            <w:r w:rsidRPr="003F2DCA">
              <w:rPr>
                <w:rFonts w:asciiTheme="minorHAnsi" w:hAnsiTheme="minorHAnsi"/>
                <w:sz w:val="20"/>
                <w:szCs w:val="20"/>
              </w:rPr>
              <w:t>nakit durumunun uygun olduğu ilk</w:t>
            </w:r>
            <w:r>
              <w:rPr>
                <w:color w:val="000000"/>
                <w:sz w:val="18"/>
                <w:szCs w:val="18"/>
              </w:rPr>
              <w:t xml:space="preserve"> iş günü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ilgili bankaya talimat verilmek suretiyle hak sahiplerinin banka hesabına aktarılması sağlanır.</w:t>
            </w:r>
          </w:p>
        </w:tc>
        <w:tc>
          <w:tcPr>
            <w:tcW w:w="2872" w:type="dxa"/>
            <w:gridSpan w:val="3"/>
          </w:tcPr>
          <w:p w:rsidR="00200E88" w:rsidRDefault="00200E88" w:rsidP="00200E8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200E88" w:rsidRPr="008F6F85" w:rsidRDefault="00200E88" w:rsidP="00200E8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Banka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Ödemenin hak sahibine yapılıp yapılmadığı kurumsal internet bankacılığı uygulamasından kontrol edilir. </w:t>
            </w:r>
          </w:p>
        </w:tc>
        <w:tc>
          <w:tcPr>
            <w:tcW w:w="2872" w:type="dxa"/>
            <w:gridSpan w:val="3"/>
          </w:tcPr>
          <w:p w:rsidR="00200E88" w:rsidRDefault="00200E88" w:rsidP="00200E8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200E88" w:rsidRDefault="00200E88" w:rsidP="00200E8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Banka</w:t>
            </w:r>
          </w:p>
          <w:p w:rsidR="00200E88" w:rsidRPr="001158CE" w:rsidRDefault="00200E88" w:rsidP="00200E8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MYS üzerinden ilgili ödemeye ilişkin muhasebe (gönderme emri belgesi) kapanış kaydı yapılır.</w:t>
            </w:r>
          </w:p>
        </w:tc>
        <w:tc>
          <w:tcPr>
            <w:tcW w:w="2872" w:type="dxa"/>
            <w:gridSpan w:val="3"/>
          </w:tcPr>
          <w:p w:rsidR="00200E88" w:rsidRPr="001158CE" w:rsidRDefault="00200E88" w:rsidP="00200E8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3"/>
          </w:tcPr>
          <w:p w:rsidR="00200E88" w:rsidRPr="001158CE" w:rsidRDefault="00200E88" w:rsidP="00200E8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9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3"/>
          </w:tcPr>
          <w:p w:rsidR="00200E88" w:rsidRPr="001158CE" w:rsidRDefault="00200E88" w:rsidP="00200E8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00E88" w:rsidRPr="00C809A6" w:rsidTr="00D908B0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00E88" w:rsidRPr="00C809A6" w:rsidRDefault="00200E88" w:rsidP="00200E8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200E88" w:rsidRPr="004E3ABC" w:rsidTr="00D908B0">
        <w:trPr>
          <w:cantSplit/>
          <w:trHeight w:val="362"/>
        </w:trPr>
        <w:tc>
          <w:tcPr>
            <w:tcW w:w="496" w:type="dxa"/>
            <w:vAlign w:val="center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200E88" w:rsidRPr="00287E0F" w:rsidTr="00D908B0">
        <w:trPr>
          <w:cantSplit/>
          <w:trHeight w:val="363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K1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200E88" w:rsidRDefault="00200E88" w:rsidP="00200E88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Ödeme evrakı;</w:t>
            </w:r>
          </w:p>
          <w:p w:rsidR="00200E88" w:rsidRPr="007B3B7A" w:rsidRDefault="00200E88" w:rsidP="00200E88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* 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 xml:space="preserve">5018 sayılı Kamu Mali Yönetimi ve Kontrol Kanunu gereğince </w:t>
            </w:r>
          </w:p>
          <w:p w:rsidR="00200E88" w:rsidRPr="007B3B7A" w:rsidRDefault="00200E88" w:rsidP="00200E88">
            <w:pPr>
              <w:shd w:val="clear" w:color="auto" w:fill="FFFFFF"/>
              <w:spacing w:line="276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>Yetkililerin imzası,</w:t>
            </w:r>
          </w:p>
          <w:p w:rsidR="00200E88" w:rsidRPr="007B3B7A" w:rsidRDefault="00200E88" w:rsidP="00200E88">
            <w:pPr>
              <w:shd w:val="clear" w:color="auto" w:fill="FFFFFF"/>
              <w:spacing w:line="276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>Ödemeye ilişkin yönetmelikte sayılan belgelerin tam olması,</w:t>
            </w:r>
          </w:p>
          <w:p w:rsidR="00200E88" w:rsidRPr="007B3B7A" w:rsidRDefault="00200E88" w:rsidP="00200E88">
            <w:pPr>
              <w:shd w:val="clear" w:color="auto" w:fill="FFFFFF"/>
              <w:spacing w:line="276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>Maddi hata bulunup bulunmadığı,</w:t>
            </w:r>
          </w:p>
          <w:p w:rsidR="00200E88" w:rsidRDefault="00200E88" w:rsidP="00200E88">
            <w:pPr>
              <w:shd w:val="clear" w:color="auto" w:fill="FFFFFF"/>
              <w:spacing w:line="276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>Hak sahibinin kimliğine ilişkin bilgilerin doğruluğu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00E88" w:rsidRDefault="00200E88" w:rsidP="00200E8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açısından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kontrol edilir.</w:t>
            </w:r>
          </w:p>
          <w:p w:rsidR="00200E88" w:rsidRPr="007B3B7A" w:rsidRDefault="00200E88" w:rsidP="00200E88">
            <w:pPr>
              <w:shd w:val="clear" w:color="auto" w:fill="FFFFFF"/>
              <w:ind w:left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00E88" w:rsidRDefault="00200E88" w:rsidP="00200E88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* 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>Merkezi Yönetim Harcama Belgeleri Yönetmeliği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gereğince,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08B0">
              <w:rPr>
                <w:rFonts w:asciiTheme="minorHAnsi" w:hAnsiTheme="minorHAnsi"/>
                <w:sz w:val="20"/>
                <w:szCs w:val="20"/>
              </w:rPr>
              <w:t>2914 sayılı Yükseköğretim Personel Kanunu uyarınca ödenecek ek ders ücretlerinde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200E88" w:rsidRPr="007B3B7A" w:rsidRDefault="00200E88" w:rsidP="00200E88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>Her öğretim döneminin ilk ayında ders yükü dağılımını 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österen onay ve akademik takvim 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>(Programda değişiklik halinde onay yeniden alınır.),</w:t>
            </w:r>
          </w:p>
          <w:p w:rsidR="00200E88" w:rsidRDefault="00200E88" w:rsidP="00200E88">
            <w:pPr>
              <w:shd w:val="clear" w:color="auto" w:fill="FFFFFF"/>
              <w:spacing w:line="276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B3B7A">
              <w:rPr>
                <w:rFonts w:asciiTheme="minorHAnsi" w:hAnsiTheme="minorHAnsi"/>
                <w:sz w:val="20"/>
                <w:szCs w:val="20"/>
              </w:rPr>
              <w:t>Yükseköğretim Ek Ders Ücreti Çizelgesi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(ek ders çizelgesi ve puantaj)</w:t>
            </w:r>
          </w:p>
          <w:p w:rsidR="00200E88" w:rsidRDefault="00200E88" w:rsidP="00200E8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Ödeme belgesine bağlanır.</w:t>
            </w:r>
          </w:p>
          <w:p w:rsidR="00200E88" w:rsidRDefault="00200E88" w:rsidP="00200E8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00E88" w:rsidRDefault="00200E88" w:rsidP="00200E88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* </w:t>
            </w:r>
            <w:r w:rsidRPr="0020749A">
              <w:rPr>
                <w:rFonts w:asciiTheme="minorHAnsi" w:hAnsiTheme="minorHAnsi"/>
                <w:sz w:val="20"/>
                <w:szCs w:val="20"/>
              </w:rPr>
              <w:t>Kurumumuz bünyesinde yapılan ek ders ödemeleri, birim bazında toplu ödeme şeklinde gerçekleştirildiğinden ilgili birim tarafından hazırlanan banka listesinin de ekli olup olmadığı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kontrolü yapılır.</w:t>
            </w:r>
          </w:p>
          <w:p w:rsidR="00200E88" w:rsidRDefault="00200E88" w:rsidP="00200E88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00E88" w:rsidRPr="008A1BC4" w:rsidRDefault="00200E88" w:rsidP="00200E88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Pr="008A1BC4">
              <w:rPr>
                <w:rFonts w:asciiTheme="minorHAnsi" w:hAnsiTheme="minorHAnsi"/>
                <w:sz w:val="20"/>
                <w:szCs w:val="20"/>
              </w:rPr>
              <w:t xml:space="preserve"> Ders Yükü Tespiti ve Ek Ders Ödemeleri Usul ve Esasları</w:t>
            </w:r>
            <w:r>
              <w:rPr>
                <w:rFonts w:asciiTheme="minorHAnsi" w:hAnsiTheme="minorHAnsi"/>
                <w:sz w:val="20"/>
                <w:szCs w:val="20"/>
              </w:rPr>
              <w:t>nın 1. Maddesinde</w:t>
            </w:r>
          </w:p>
          <w:p w:rsidR="00200E88" w:rsidRDefault="00200E88" w:rsidP="00200E88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“</w:t>
            </w:r>
            <w:r w:rsidRPr="008A1BC4">
              <w:rPr>
                <w:rFonts w:asciiTheme="minorHAnsi" w:hAnsiTheme="minorHAnsi"/>
                <w:sz w:val="20"/>
                <w:szCs w:val="20"/>
              </w:rPr>
              <w:t xml:space="preserve">Mecburi ve isteğe bağlı dersler ile diğer faaliyetler için haftalık ders programında yer alması ve </w:t>
            </w:r>
            <w:r w:rsidRPr="008A1BC4">
              <w:rPr>
                <w:rFonts w:asciiTheme="minorHAnsi" w:hAnsiTheme="minorHAnsi"/>
                <w:b/>
                <w:sz w:val="20"/>
                <w:szCs w:val="20"/>
              </w:rPr>
              <w:t>fiilen yapılması</w:t>
            </w:r>
            <w:r w:rsidRPr="008A1BC4">
              <w:rPr>
                <w:rFonts w:asciiTheme="minorHAnsi" w:hAnsiTheme="minorHAnsi"/>
                <w:sz w:val="20"/>
                <w:szCs w:val="20"/>
              </w:rPr>
              <w:t xml:space="preserve"> şartıyla öğretim elemanının toplam ücret karşılığı verebileceği ek ders; normal örgün öğretimde en çok 20 saat, ikinci ö</w:t>
            </w:r>
            <w:r>
              <w:rPr>
                <w:rFonts w:asciiTheme="minorHAnsi" w:hAnsiTheme="minorHAnsi"/>
                <w:sz w:val="20"/>
                <w:szCs w:val="20"/>
              </w:rPr>
              <w:t>ğretimde ise en çok 10 saattir.” Denilmektedir. Söz konusu madde uyarınca ek ders ücret çizelgeleri üzerinde kontroller gerçekleştirilir.</w:t>
            </w:r>
          </w:p>
          <w:p w:rsidR="00200E88" w:rsidRDefault="00200E88" w:rsidP="00200E88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00E88" w:rsidRPr="0020749A" w:rsidRDefault="00200E88" w:rsidP="00200E88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="006848EB">
              <w:rPr>
                <w:rFonts w:asciiTheme="minorHAnsi" w:hAnsiTheme="minorHAnsi"/>
                <w:sz w:val="20"/>
                <w:szCs w:val="20"/>
              </w:rPr>
              <w:t xml:space="preserve"> Muhasebat</w:t>
            </w:r>
            <w:r w:rsidRPr="0020749A">
              <w:rPr>
                <w:rFonts w:asciiTheme="minorHAnsi" w:hAnsiTheme="minorHAnsi"/>
                <w:sz w:val="20"/>
                <w:szCs w:val="20"/>
              </w:rPr>
              <w:t xml:space="preserve"> Genel Müdürlüğü Genel Tebliği  (Sıra No: 43) uyarınca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tüm bu kontrollerin </w:t>
            </w:r>
            <w:r w:rsidRPr="0020749A">
              <w:rPr>
                <w:rFonts w:asciiTheme="minorHAnsi" w:hAnsiTheme="minorHAnsi"/>
                <w:sz w:val="20"/>
                <w:szCs w:val="20"/>
              </w:rPr>
              <w:t xml:space="preserve">ödeme belgelerinin muhasebe birimlerine geliş tarihinden itibaren en geç dört iş günü içerisinde </w:t>
            </w:r>
            <w:r>
              <w:rPr>
                <w:rFonts w:asciiTheme="minorHAnsi" w:hAnsiTheme="minorHAnsi"/>
                <w:sz w:val="20"/>
                <w:szCs w:val="20"/>
              </w:rPr>
              <w:t>tamamlanması gerekmektedir.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8363" w:type="dxa"/>
            <w:gridSpan w:val="11"/>
          </w:tcPr>
          <w:p w:rsidR="00200E88" w:rsidRPr="00B40940" w:rsidRDefault="00200E88" w:rsidP="00200E8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Hatalı/eksik olduğu tespit edilen ödeme evrakı </w:t>
            </w:r>
            <w:r w:rsidR="006848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Muhasebat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Genel Müdürlüğü Genel Tebliği  (Sıra No: 43) uyarınca </w:t>
            </w:r>
            <w:r w:rsidRPr="0099598D">
              <w:rPr>
                <w:rFonts w:asciiTheme="minorHAnsi" w:hAnsiTheme="minorHAnsi"/>
                <w:sz w:val="20"/>
                <w:szCs w:val="20"/>
              </w:rPr>
              <w:t>en geç hata veya noksanın tespit edildiği günü izleyen iş günü içinde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ilgili harcama birimine iade edilmesi gerekmektedir.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8363" w:type="dxa"/>
            <w:gridSpan w:val="11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Hata/eksikleri giderilerek birimimize yeniden gönderilen ödeme evraklarının </w:t>
            </w:r>
            <w:r w:rsidR="006848EB">
              <w:rPr>
                <w:rFonts w:asciiTheme="minorHAnsi" w:hAnsiTheme="minorHAnsi" w:cs="Times New Roman"/>
                <w:sz w:val="20"/>
                <w:szCs w:val="20"/>
                <w:lang w:eastAsia="tr-TR"/>
              </w:rPr>
              <w:t>Muhasebat</w:t>
            </w:r>
            <w:r w:rsidRPr="00093E30">
              <w:rPr>
                <w:rFonts w:asciiTheme="minorHAnsi" w:hAnsiTheme="minorHAnsi" w:cs="Times New Roman"/>
                <w:sz w:val="20"/>
                <w:szCs w:val="20"/>
                <w:lang w:eastAsia="tr-TR"/>
              </w:rPr>
              <w:t xml:space="preserve"> Genel Müdürlüğü Genel Tebliği  (Sıra No: 43)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gereğince </w:t>
            </w:r>
            <w:r w:rsidRPr="00093E30">
              <w:rPr>
                <w:rFonts w:asciiTheme="minorHAnsi" w:hAnsiTheme="minorHAnsi"/>
                <w:sz w:val="20"/>
                <w:szCs w:val="20"/>
              </w:rPr>
              <w:t>en geç iki iş günü içinde incelenmesi gerekmektedir. Ayrıca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mevzuata uygun olduğu tespit edilen ödeme evrakları ödemenin gerçekleştirilmesi için MYS üzerinden görüntülenerek muhasebe </w:t>
            </w:r>
            <w:r w:rsidRPr="00093E30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işlemlerinin gerçek mahiyetlerine uygun biçimde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yapılıp yapılmadığı </w:t>
            </w:r>
            <w:r w:rsidRPr="00093E30">
              <w:rPr>
                <w:rFonts w:asciiTheme="minorHAnsi" w:hAnsiTheme="minorHAnsi" w:cs="Times New Roman"/>
                <w:sz w:val="20"/>
                <w:szCs w:val="20"/>
                <w:lang w:eastAsia="tr-TR"/>
              </w:rPr>
              <w:t>Merkezi Yönetim Muhasebe Yönetmeliği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kapsamında </w:t>
            </w:r>
            <w:r w:rsidRPr="00093E30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kontrol edilir.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8363" w:type="dxa"/>
            <w:gridSpan w:val="11"/>
          </w:tcPr>
          <w:p w:rsidR="00200E88" w:rsidRPr="004770FA" w:rsidRDefault="00200E88" w:rsidP="00200E8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Muhasebe yetkilisinin 5018 sayılı Kanunun </w:t>
            </w:r>
            <w:r w:rsidRPr="00B61533">
              <w:rPr>
                <w:rFonts w:asciiTheme="minorHAnsi" w:hAnsiTheme="minorHAnsi"/>
                <w:sz w:val="20"/>
                <w:szCs w:val="20"/>
              </w:rPr>
              <w:t xml:space="preserve">Muhasebe hizmeti ve muhasebe yetkilisinin yetki ve sorumlulukları başlıklı 61. maddesinde belirtilen incelemeleri yapması gerekmektedir. </w:t>
            </w: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E88" w:rsidRPr="00287E0F" w:rsidTr="00D908B0">
        <w:trPr>
          <w:cantSplit/>
          <w:trHeight w:val="349"/>
        </w:trPr>
        <w:tc>
          <w:tcPr>
            <w:tcW w:w="496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200E88" w:rsidRPr="004770FA" w:rsidRDefault="00200E88" w:rsidP="00200E8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E88" w:rsidRPr="00C809A6" w:rsidTr="00D908B0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00E88" w:rsidRPr="00C809A6" w:rsidRDefault="00200E88" w:rsidP="00200E8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200E88" w:rsidRPr="004E3ABC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lastRenderedPageBreak/>
              <w:t>Süreç Hedefi</w:t>
            </w:r>
          </w:p>
        </w:tc>
        <w:tc>
          <w:tcPr>
            <w:tcW w:w="2551" w:type="dxa"/>
            <w:gridSpan w:val="3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Performans/İzleme 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Göstergesi</w:t>
            </w:r>
          </w:p>
        </w:tc>
        <w:tc>
          <w:tcPr>
            <w:tcW w:w="709" w:type="dxa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992" w:type="dxa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1" w:type="dxa"/>
            <w:gridSpan w:val="3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2057" w:type="dxa"/>
          </w:tcPr>
          <w:p w:rsidR="00200E88" w:rsidRPr="004E3ABC" w:rsidRDefault="00200E88" w:rsidP="00200E8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E</w:t>
            </w:r>
            <w:r w:rsidRPr="00106E17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k ders ücret ödemelerinin mevzuata uygun şekilde yapılmasının sağlanması</w:t>
            </w: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yıl içerisinde harcama birimleri tarafından hatalı olarak gönderildiği tespit edilen evrakların toplam evraklara oranı</w:t>
            </w: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Yıllık</w:t>
            </w:r>
          </w:p>
        </w:tc>
        <w:tc>
          <w:tcPr>
            <w:tcW w:w="2057" w:type="dxa"/>
          </w:tcPr>
          <w:p w:rsidR="001B5D5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1B5D5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Birimi personelleri</w:t>
            </w: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B5D5A" w:rsidRPr="00287E0F" w:rsidTr="00F87501">
        <w:trPr>
          <w:cantSplit/>
          <w:trHeight w:val="362"/>
        </w:trPr>
        <w:tc>
          <w:tcPr>
            <w:tcW w:w="2549" w:type="dxa"/>
            <w:gridSpan w:val="4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B5D5A" w:rsidRPr="008959B4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D5A" w:rsidRPr="00174ECA" w:rsidRDefault="001B5D5A" w:rsidP="001B5D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B5D5A" w:rsidRPr="007146FD" w:rsidRDefault="001B5D5A" w:rsidP="001B5D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1B5D5A" w:rsidRPr="00BA4FBA" w:rsidRDefault="001B5D5A" w:rsidP="001B5D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87" w:rsidRDefault="00851E87" w:rsidP="006A31BE">
      <w:r>
        <w:separator/>
      </w:r>
    </w:p>
  </w:endnote>
  <w:endnote w:type="continuationSeparator" w:id="0">
    <w:p w:rsidR="00851E87" w:rsidRDefault="00851E87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87" w:rsidRDefault="00851E87" w:rsidP="006A31BE">
      <w:r>
        <w:separator/>
      </w:r>
    </w:p>
  </w:footnote>
  <w:footnote w:type="continuationSeparator" w:id="0">
    <w:p w:rsidR="00851E87" w:rsidRDefault="00851E87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49476B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E34625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34625" w:rsidP="00E34625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 w:rsidR="00222960">
            <w:rPr>
              <w:rFonts w:asciiTheme="minorHAnsi" w:hAnsiTheme="minorHAnsi"/>
              <w:sz w:val="16"/>
              <w:szCs w:val="16"/>
            </w:rPr>
            <w:t>0</w:t>
          </w:r>
          <w:r>
            <w:rPr>
              <w:rFonts w:asciiTheme="minorHAnsi" w:hAnsiTheme="minorHAnsi"/>
              <w:sz w:val="16"/>
              <w:szCs w:val="16"/>
            </w:rPr>
            <w:t>4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34625">
                <w:rPr>
                  <w:rFonts w:asciiTheme="minorHAnsi" w:hAnsiTheme="minorHAnsi"/>
                  <w:noProof/>
                  <w:sz w:val="16"/>
                  <w:szCs w:val="16"/>
                </w:rPr>
                <w:t>4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34625">
                <w:rPr>
                  <w:rFonts w:asciiTheme="minorHAnsi" w:hAnsiTheme="minorHAnsi"/>
                  <w:noProof/>
                  <w:sz w:val="16"/>
                  <w:szCs w:val="16"/>
                </w:rPr>
                <w:t>4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471"/>
    <w:multiLevelType w:val="hybridMultilevel"/>
    <w:tmpl w:val="C9FC5BC2"/>
    <w:lvl w:ilvl="0" w:tplc="041F0001">
      <w:start w:val="2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320"/>
    <w:multiLevelType w:val="hybridMultilevel"/>
    <w:tmpl w:val="868ACDFC"/>
    <w:lvl w:ilvl="0" w:tplc="041F0001">
      <w:start w:val="2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B8A"/>
    <w:multiLevelType w:val="hybridMultilevel"/>
    <w:tmpl w:val="77207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54E5"/>
    <w:multiLevelType w:val="hybridMultilevel"/>
    <w:tmpl w:val="359275E0"/>
    <w:lvl w:ilvl="0" w:tplc="041F0001">
      <w:start w:val="2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7887"/>
    <w:multiLevelType w:val="hybridMultilevel"/>
    <w:tmpl w:val="5282C14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8711A2"/>
    <w:multiLevelType w:val="hybridMultilevel"/>
    <w:tmpl w:val="0E064778"/>
    <w:lvl w:ilvl="0" w:tplc="041F0001">
      <w:start w:val="2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492"/>
    <w:multiLevelType w:val="hybridMultilevel"/>
    <w:tmpl w:val="4AAC30EA"/>
    <w:lvl w:ilvl="0" w:tplc="041F0001">
      <w:start w:val="2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0F5"/>
    <w:multiLevelType w:val="hybridMultilevel"/>
    <w:tmpl w:val="7CA89EEE"/>
    <w:lvl w:ilvl="0" w:tplc="041F0001">
      <w:start w:val="2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7680"/>
    <w:multiLevelType w:val="hybridMultilevel"/>
    <w:tmpl w:val="9EEC7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0B88"/>
    <w:multiLevelType w:val="hybridMultilevel"/>
    <w:tmpl w:val="CAF82676"/>
    <w:lvl w:ilvl="0" w:tplc="5106A7A8">
      <w:start w:val="291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A98733D"/>
    <w:multiLevelType w:val="hybridMultilevel"/>
    <w:tmpl w:val="9EC206C4"/>
    <w:lvl w:ilvl="0" w:tplc="041F0001">
      <w:start w:val="2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06E17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5D5A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0E88"/>
    <w:rsid w:val="00202703"/>
    <w:rsid w:val="0020749A"/>
    <w:rsid w:val="002077D0"/>
    <w:rsid w:val="00211B28"/>
    <w:rsid w:val="002159FB"/>
    <w:rsid w:val="00222960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2512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87F56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2CB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2DCA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14A9"/>
    <w:rsid w:val="00434941"/>
    <w:rsid w:val="00434A57"/>
    <w:rsid w:val="00435074"/>
    <w:rsid w:val="00435F08"/>
    <w:rsid w:val="004369F1"/>
    <w:rsid w:val="004440A3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76B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676C6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1510"/>
    <w:rsid w:val="00653764"/>
    <w:rsid w:val="006545DD"/>
    <w:rsid w:val="00655DB6"/>
    <w:rsid w:val="00656AA3"/>
    <w:rsid w:val="006573BF"/>
    <w:rsid w:val="00660AD2"/>
    <w:rsid w:val="00662412"/>
    <w:rsid w:val="00677EB5"/>
    <w:rsid w:val="0068435B"/>
    <w:rsid w:val="006848E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7366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C44"/>
    <w:rsid w:val="007A3F92"/>
    <w:rsid w:val="007B3B7A"/>
    <w:rsid w:val="007C59AC"/>
    <w:rsid w:val="007D4291"/>
    <w:rsid w:val="007D51F2"/>
    <w:rsid w:val="007D6149"/>
    <w:rsid w:val="007D7330"/>
    <w:rsid w:val="007E1CAD"/>
    <w:rsid w:val="007E3C02"/>
    <w:rsid w:val="007E7D0B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1E87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1BC4"/>
    <w:rsid w:val="008B01D6"/>
    <w:rsid w:val="008B60A8"/>
    <w:rsid w:val="008B6138"/>
    <w:rsid w:val="008C2F40"/>
    <w:rsid w:val="008C6B78"/>
    <w:rsid w:val="008D1888"/>
    <w:rsid w:val="008D4830"/>
    <w:rsid w:val="008D5B49"/>
    <w:rsid w:val="008D69C6"/>
    <w:rsid w:val="008E3C48"/>
    <w:rsid w:val="008E4488"/>
    <w:rsid w:val="008E47EC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554E3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0008"/>
    <w:rsid w:val="009C1675"/>
    <w:rsid w:val="009C381A"/>
    <w:rsid w:val="009C4CB0"/>
    <w:rsid w:val="009C5B60"/>
    <w:rsid w:val="009D7E8E"/>
    <w:rsid w:val="009E3349"/>
    <w:rsid w:val="009E667A"/>
    <w:rsid w:val="009E75D4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26D3B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571D"/>
    <w:rsid w:val="00A673D0"/>
    <w:rsid w:val="00A67E4B"/>
    <w:rsid w:val="00A71EEB"/>
    <w:rsid w:val="00A80F90"/>
    <w:rsid w:val="00A85943"/>
    <w:rsid w:val="00A85F38"/>
    <w:rsid w:val="00A916A2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2CE2"/>
    <w:rsid w:val="00AF3B09"/>
    <w:rsid w:val="00AF52B4"/>
    <w:rsid w:val="00AF6A2B"/>
    <w:rsid w:val="00B01E61"/>
    <w:rsid w:val="00B02954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0BEF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5408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525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5C89"/>
    <w:rsid w:val="00D377C9"/>
    <w:rsid w:val="00D42605"/>
    <w:rsid w:val="00D47AA9"/>
    <w:rsid w:val="00D51408"/>
    <w:rsid w:val="00D52D22"/>
    <w:rsid w:val="00D55FAE"/>
    <w:rsid w:val="00D60C20"/>
    <w:rsid w:val="00D62465"/>
    <w:rsid w:val="00D67DC7"/>
    <w:rsid w:val="00D74B0D"/>
    <w:rsid w:val="00D74FFE"/>
    <w:rsid w:val="00D767D1"/>
    <w:rsid w:val="00D86F82"/>
    <w:rsid w:val="00D908B0"/>
    <w:rsid w:val="00D909BB"/>
    <w:rsid w:val="00D9658F"/>
    <w:rsid w:val="00DB0034"/>
    <w:rsid w:val="00DB44EA"/>
    <w:rsid w:val="00DB4A14"/>
    <w:rsid w:val="00DC0456"/>
    <w:rsid w:val="00DC0586"/>
    <w:rsid w:val="00DC2591"/>
    <w:rsid w:val="00DC563E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0DF"/>
    <w:rsid w:val="00DF757B"/>
    <w:rsid w:val="00E015E4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4625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759C"/>
    <w:rsid w:val="00ED2EE0"/>
    <w:rsid w:val="00ED2F6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15B2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5A01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501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055A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46F63"/>
  <w15:docId w15:val="{FDEC464C-AB22-4900-AA62-B9D2229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388B-5770-40B1-97F9-9D9CA545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40</cp:revision>
  <dcterms:created xsi:type="dcterms:W3CDTF">2020-02-12T07:15:00Z</dcterms:created>
  <dcterms:modified xsi:type="dcterms:W3CDTF">2023-04-03T07:35:00Z</dcterms:modified>
</cp:coreProperties>
</file>