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559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4A09B9" w:rsidRDefault="00FB7674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harcırah ödemeleri süreci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DB1D9D" w:rsidRDefault="003C4DB7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DB1D9D" w:rsidRDefault="003C4DB7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Pr="00DB1D9D">
              <w:rPr>
                <w:sz w:val="20"/>
                <w:szCs w:val="20"/>
              </w:rPr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:rsidR="00B574F9" w:rsidRPr="00DB1D9D" w:rsidRDefault="003C4DB7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6C606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6C606F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idari ve mali hizmetler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6C606F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idari ve mali hizmetler - tahakkuk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:rsidTr="00BA1F09">
        <w:trPr>
          <w:cantSplit/>
          <w:trHeight w:val="941"/>
        </w:trPr>
        <w:tc>
          <w:tcPr>
            <w:tcW w:w="9709" w:type="dxa"/>
            <w:gridSpan w:val="13"/>
            <w:vAlign w:val="center"/>
          </w:tcPr>
          <w:p w:rsidR="00BA1F09" w:rsidRDefault="00DB4094" w:rsidP="00FB7674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Süreç, Üniversitemiz çeşitli birimlerinde görev yapan Akademik Personel, İdari Personel ve İşçi Kadros</w:t>
            </w:r>
            <w:r w:rsidR="00FB7674">
              <w:rPr>
                <w:rFonts w:asciiTheme="minorHAnsi" w:hAnsiTheme="minorHAnsi" w:cs="Calibri"/>
                <w:sz w:val="20"/>
                <w:szCs w:val="20"/>
                <w:lang w:eastAsia="en-US"/>
              </w:rPr>
              <w:t>unda çalışmakta olan personelin Yurt içi Geçici, Yurt İçi Sürekli, Yurt Dışı Geçici ve Emekli Harcırahlarını kapsar. 6234 sayılı harcırah kanunu kapsamında üniversitemiz personelinin harcırahlarının hesaplanması ve ödenmesi.</w:t>
            </w:r>
          </w:p>
          <w:p w:rsidR="00EB60BA" w:rsidRPr="004770FA" w:rsidRDefault="00EB60BA" w:rsidP="00FB7674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6C606F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B574F9" w:rsidRPr="00351A1D" w:rsidRDefault="006C606F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idari ve mali işler daire başkanı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Rektör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Rektör Yardımcısı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Genel Sekreter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Genel Sekreter Yardımcısı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İdari ve Mali İşler Daire Başkanı</w:t>
            </w:r>
          </w:p>
          <w:p w:rsidR="00FB7674" w:rsidRDefault="00FB7674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Personel Daire Başkanı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Tahakkuk Şube Müdürü</w:t>
            </w:r>
          </w:p>
          <w:p w:rsidR="00B677B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 xml:space="preserve">İlgili Birim </w:t>
            </w:r>
            <w:r w:rsidR="00B55CB6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Mutemedi</w:t>
            </w:r>
          </w:p>
          <w:p w:rsidR="00EB60BA" w:rsidRPr="006C606F" w:rsidRDefault="00EB60BA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:rsidR="00B574F9" w:rsidRDefault="00FB7674" w:rsidP="00FB76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Akademik, İdari ve İşçi Kadrosunda bulunan personel</w:t>
            </w:r>
            <w:r w:rsidR="00B55CB6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Strateji Geliştirme Daire Başkanlığı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Personel Daire Başkanlığı</w:t>
            </w:r>
          </w:p>
          <w:p w:rsidR="00EB60BA" w:rsidRPr="00351A1D" w:rsidRDefault="00EB60BA" w:rsidP="00FB76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:rsidR="00B55CB6" w:rsidRDefault="00FB7674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Görevlendirme Olurları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Yolluk Bildirimi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Yol Giderleri Faturaları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Konaklama Giderleri Faturaları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Katılım Ücreti Faturası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Diğer Gider faturaları (taksi,hamal ücreti vs)</w:t>
            </w:r>
          </w:p>
          <w:p w:rsidR="00EB60BA" w:rsidRPr="00DE2F0E" w:rsidRDefault="00EB60B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:rsidR="00FB7674" w:rsidRDefault="00FB7674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6245 Sayılı Harcırah Kanunu</w:t>
            </w:r>
          </w:p>
          <w:p w:rsidR="00FB7674" w:rsidRDefault="00FB7674" w:rsidP="00FB7674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Cari Yıla ait H cetveli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Yurt Dışı Gündeliklere ait Karar</w:t>
            </w:r>
          </w:p>
          <w:p w:rsidR="00FB7674" w:rsidRPr="002C1DCE" w:rsidRDefault="00FB7674" w:rsidP="00FB7674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95778C" w:rsidRPr="002C1DCE" w:rsidRDefault="0095778C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:rsidR="00B55CB6" w:rsidRPr="0068435B" w:rsidRDefault="00EB60BA" w:rsidP="00EB60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Ödeme Emri Belgesi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B574F9" w:rsidRPr="0068435B" w:rsidRDefault="00EB60BA" w:rsidP="001A4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FE22BA" w:rsidRPr="00574E45" w:rsidRDefault="001A4126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strateji geliştirme daire başkan</w:t>
            </w:r>
            <w:r w:rsidR="00063BBE">
              <w:rPr>
                <w:rFonts w:asciiTheme="minorHAnsi" w:hAnsiTheme="minorHAnsi" w:cs="Calibri"/>
                <w:smallCaps/>
                <w:sz w:val="20"/>
                <w:szCs w:val="20"/>
              </w:rPr>
              <w:t>l</w:t>
            </w: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ığı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lastRenderedPageBreak/>
              <w:t>Süreç Faaliyetleri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:rsidR="000C7203" w:rsidRPr="004770FA" w:rsidRDefault="00EB60BA" w:rsidP="001A412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Personele ait görevlendirme onayı gönderilir</w:t>
            </w:r>
          </w:p>
        </w:tc>
        <w:tc>
          <w:tcPr>
            <w:tcW w:w="2872" w:type="dxa"/>
            <w:gridSpan w:val="4"/>
          </w:tcPr>
          <w:p w:rsidR="002A6BAC" w:rsidRPr="00C06B2B" w:rsidRDefault="00EB60BA" w:rsidP="00FE22B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Personel Daire Başkanlığı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:rsidR="00B574F9" w:rsidRPr="004770FA" w:rsidRDefault="00EB60B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Görevlendirme onayları ilgili birimlere gönderilir.</w:t>
            </w:r>
          </w:p>
        </w:tc>
        <w:tc>
          <w:tcPr>
            <w:tcW w:w="2872" w:type="dxa"/>
            <w:gridSpan w:val="4"/>
          </w:tcPr>
          <w:p w:rsidR="00B574F9" w:rsidRPr="004770FA" w:rsidRDefault="00EB60B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Personel Daire Başkanlığı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:rsidR="00B574F9" w:rsidRPr="004770FA" w:rsidRDefault="00EB60BA" w:rsidP="0095778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Tahakkuk ettirilecek Yolluk Bildirimi ve diğer kanıtlayıcı belgeler hazırlanır</w:t>
            </w:r>
          </w:p>
        </w:tc>
        <w:tc>
          <w:tcPr>
            <w:tcW w:w="2872" w:type="dxa"/>
            <w:gridSpan w:val="4"/>
          </w:tcPr>
          <w:p w:rsidR="00B574F9" w:rsidRPr="004770FA" w:rsidRDefault="00B12256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A1F0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:rsidR="00B574F9" w:rsidRPr="004770FA" w:rsidRDefault="00EB60BA" w:rsidP="00EB60B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Yolluk Bildirimi oluşturulup bildirim ve belgelerin dökümü yapılır.</w:t>
            </w:r>
          </w:p>
        </w:tc>
        <w:tc>
          <w:tcPr>
            <w:tcW w:w="2872" w:type="dxa"/>
            <w:gridSpan w:val="4"/>
          </w:tcPr>
          <w:p w:rsidR="00B574F9" w:rsidRDefault="00BA1F09" w:rsidP="00B122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  <w:p w:rsidR="00EB60BA" w:rsidRPr="008F6F85" w:rsidRDefault="00EB60BA" w:rsidP="00B12256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B60BA" w:rsidRPr="00287E0F" w:rsidTr="00365D71">
        <w:trPr>
          <w:cantSplit/>
          <w:trHeight w:val="349"/>
        </w:trPr>
        <w:tc>
          <w:tcPr>
            <w:tcW w:w="496" w:type="dxa"/>
          </w:tcPr>
          <w:p w:rsidR="00EB60BA" w:rsidRDefault="00EB60B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:rsidR="00EB60BA" w:rsidRDefault="00EB60BA" w:rsidP="00EB60BA">
            <w:pPr>
              <w:pStyle w:val="ListeParagraf2"/>
              <w:spacing w:after="0" w:line="240" w:lineRule="auto"/>
              <w:ind w:left="0"/>
              <w:jc w:val="both"/>
            </w:pPr>
            <w:r>
              <w:t>Ödeme Emri Belgesi oluşturulup Muhasebe Birimine teslim edilir</w:t>
            </w:r>
          </w:p>
        </w:tc>
        <w:tc>
          <w:tcPr>
            <w:tcW w:w="2872" w:type="dxa"/>
            <w:gridSpan w:val="4"/>
          </w:tcPr>
          <w:p w:rsidR="00EB60BA" w:rsidRDefault="00EB60BA" w:rsidP="00EB60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  <w:p w:rsidR="00EB60BA" w:rsidRDefault="00EB60BA" w:rsidP="00B122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Pr="004770FA" w:rsidRDefault="00305B7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8363" w:type="dxa"/>
            <w:gridSpan w:val="11"/>
          </w:tcPr>
          <w:p w:rsidR="00EA7C8A" w:rsidRPr="004770FA" w:rsidRDefault="00EB60BA" w:rsidP="00BA1F09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İç Kontrol Birimi gerekli kontrollerini kendi periyodik denetleme süreçleri çerçevesinde yapmaktadır.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B574F9" w:rsidRPr="004E3ABC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Performans/İzleme  Göstergesi</w:t>
            </w:r>
          </w:p>
        </w:tc>
        <w:tc>
          <w:tcPr>
            <w:tcW w:w="567" w:type="dxa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0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1559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Sorumlu</w:t>
            </w: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FE22BA" w:rsidRDefault="00305B71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</w:pPr>
            <w:r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PERSONE</w:t>
            </w:r>
            <w:r w:rsidR="00D27C32"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L</w:t>
            </w:r>
            <w:r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E ÖDENEN MAAŞLARIN MEVZUATA UYGUN BİR ŞEKİLDE ÖDENMESİ</w:t>
            </w: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B60BA" w:rsidP="00EB60B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Personelin Harcırahını</w:t>
            </w:r>
            <w:r w:rsidR="00BA1F09">
              <w:rPr>
                <w:rFonts w:asciiTheme="minorHAnsi" w:hAnsiTheme="minorHAnsi"/>
                <w:sz w:val="20"/>
                <w:szCs w:val="20"/>
              </w:rPr>
              <w:t xml:space="preserve"> ilgili mevzuatlar kapsamında zamanında </w:t>
            </w:r>
            <w:r>
              <w:rPr>
                <w:rFonts w:asciiTheme="minorHAnsi" w:hAnsiTheme="minorHAnsi"/>
                <w:sz w:val="20"/>
                <w:szCs w:val="20"/>
              </w:rPr>
              <w:t>ödenmesi</w:t>
            </w: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B60B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muhtelif</w:t>
            </w:r>
            <w:bookmarkStart w:id="1" w:name="_GoBack"/>
            <w:bookmarkEnd w:id="1"/>
          </w:p>
        </w:tc>
        <w:tc>
          <w:tcPr>
            <w:tcW w:w="1559" w:type="dxa"/>
          </w:tcPr>
          <w:p w:rsidR="00EA7C8A" w:rsidRPr="00BA4FBA" w:rsidRDefault="00D27C32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İlgili Mutemetler.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15" w:rsidRDefault="00763E15" w:rsidP="006A31BE">
      <w:r>
        <w:separator/>
      </w:r>
    </w:p>
  </w:endnote>
  <w:endnote w:type="continuationSeparator" w:id="1">
    <w:p w:rsidR="00763E15" w:rsidRDefault="00763E15" w:rsidP="006A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15" w:rsidRDefault="00763E15" w:rsidP="006A31BE">
      <w:r>
        <w:separator/>
      </w:r>
    </w:p>
  </w:footnote>
  <w:footnote w:type="continuationSeparator" w:id="1">
    <w:p w:rsidR="00763E15" w:rsidRDefault="00763E15" w:rsidP="006A3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FC3F62" w:rsidP="00705F1C">
          <w:pPr>
            <w:pStyle w:val="stbilgi"/>
            <w:jc w:val="center"/>
            <w:rPr>
              <w:rFonts w:asciiTheme="minorHAnsi" w:hAnsiTheme="minorHAnsi"/>
              <w:b/>
              <w:color w:val="14067A"/>
              <w:sz w:val="24"/>
              <w:szCs w:val="24"/>
            </w:rPr>
          </w:pPr>
          <w:r>
            <w:rPr>
              <w:rFonts w:asciiTheme="minorHAnsi" w:hAnsiTheme="minorHAnsi"/>
              <w:b/>
              <w:color w:val="14067A"/>
              <w:sz w:val="24"/>
              <w:szCs w:val="24"/>
            </w:rPr>
            <w:t>ERCİYES ÜNİVERSİTESİ</w:t>
          </w:r>
        </w:p>
        <w:p w:rsidR="00FC3F62" w:rsidRDefault="00FC3F62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  <w:sz w:val="24"/>
              <w:szCs w:val="24"/>
            </w:rPr>
            <w:t>TAHAKKUK ŞUBE MÜDÜRLÜĞÜ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  <w:sz w:val="24"/>
              <w:szCs w:val="24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3C4DB7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3C4DB7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063BBE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3C4DB7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3C4DB7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3C4DB7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063BBE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3C4DB7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3BBE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A7202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A4126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5B71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C4DB7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3F21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C606F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3E15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37F93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5778C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2256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5CB6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1F09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67202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C32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3E98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09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0B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703"/>
    <w:rsid w:val="00FA7AA2"/>
    <w:rsid w:val="00FA7B59"/>
    <w:rsid w:val="00FB2074"/>
    <w:rsid w:val="00FB33B4"/>
    <w:rsid w:val="00FB3EE7"/>
    <w:rsid w:val="00FB5D3F"/>
    <w:rsid w:val="00FB714A"/>
    <w:rsid w:val="00FB7674"/>
    <w:rsid w:val="00FC1844"/>
    <w:rsid w:val="00FC3F62"/>
    <w:rsid w:val="00FC6A62"/>
    <w:rsid w:val="00FC7321"/>
    <w:rsid w:val="00FC7D01"/>
    <w:rsid w:val="00FD17B9"/>
    <w:rsid w:val="00FD3AA5"/>
    <w:rsid w:val="00FD574F"/>
    <w:rsid w:val="00FE1E07"/>
    <w:rsid w:val="00FE22BA"/>
    <w:rsid w:val="00FE5A86"/>
    <w:rsid w:val="00FE6CBA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C1875-A92F-4D15-A4D9-041A6BBC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771</cp:revision>
  <dcterms:created xsi:type="dcterms:W3CDTF">2013-05-06T19:36:00Z</dcterms:created>
  <dcterms:modified xsi:type="dcterms:W3CDTF">2022-03-10T19:09:00Z</dcterms:modified>
</cp:coreProperties>
</file>