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2423D" w:rsidRDefault="00C2423D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Arge LAB Binasına Bağlı 700 kW Jeneratör Arıza Giderim Süreci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 </w:t>
            </w:r>
            <w:r w:rsidR="0023260A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3260A" w:rsidRPr="00DB1D9D">
              <w:rPr>
                <w:sz w:val="20"/>
                <w:szCs w:val="20"/>
              </w:rPr>
              <w:instrText xml:space="preserve"> FORMCHECKBOX </w:instrText>
            </w:r>
            <w:r w:rsidR="0023260A">
              <w:rPr>
                <w:sz w:val="20"/>
                <w:szCs w:val="20"/>
              </w:rPr>
            </w:r>
            <w:r w:rsidR="0023260A">
              <w:rPr>
                <w:sz w:val="20"/>
                <w:szCs w:val="20"/>
              </w:rPr>
              <w:fldChar w:fldCharType="separate"/>
            </w:r>
            <w:r w:rsidR="0023260A" w:rsidRPr="00DB1D9D">
              <w:rPr>
                <w:sz w:val="20"/>
                <w:szCs w:val="20"/>
              </w:rPr>
              <w:fldChar w:fldCharType="end"/>
            </w:r>
            <w:r w:rsidR="0023260A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 </w:t>
            </w:r>
            <w:r w:rsidR="0023260A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3260A" w:rsidRPr="00DB1D9D">
              <w:rPr>
                <w:sz w:val="20"/>
                <w:szCs w:val="20"/>
              </w:rPr>
              <w:instrText xml:space="preserve"> FORMCHECKBOX </w:instrText>
            </w:r>
            <w:r w:rsidR="0023260A">
              <w:rPr>
                <w:sz w:val="20"/>
                <w:szCs w:val="20"/>
              </w:rPr>
            </w:r>
            <w:r w:rsidR="0023260A">
              <w:rPr>
                <w:sz w:val="20"/>
                <w:szCs w:val="20"/>
              </w:rPr>
              <w:fldChar w:fldCharType="separate"/>
            </w:r>
            <w:r w:rsidR="0023260A" w:rsidRPr="00DB1D9D">
              <w:rPr>
                <w:sz w:val="20"/>
                <w:szCs w:val="20"/>
              </w:rPr>
              <w:fldChar w:fldCharType="end"/>
            </w:r>
            <w:r w:rsidR="0023260A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 </w:t>
            </w:r>
            <w:r w:rsidR="0023260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3260A">
              <w:rPr>
                <w:sz w:val="20"/>
                <w:szCs w:val="20"/>
              </w:rPr>
              <w:instrText xml:space="preserve"> FORMCHECKBOX </w:instrText>
            </w:r>
            <w:r w:rsidR="0023260A">
              <w:rPr>
                <w:sz w:val="20"/>
                <w:szCs w:val="20"/>
              </w:rPr>
            </w:r>
            <w:r w:rsidR="0023260A">
              <w:rPr>
                <w:sz w:val="20"/>
                <w:szCs w:val="20"/>
              </w:rPr>
              <w:fldChar w:fldCharType="separate"/>
            </w:r>
            <w:r w:rsidR="0023260A">
              <w:rPr>
                <w:sz w:val="20"/>
                <w:szCs w:val="20"/>
              </w:rPr>
              <w:fldChar w:fldCharType="end"/>
            </w:r>
            <w:r w:rsidR="0023260A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Arge LAB binasına bağlı olan 700 kW jeneratörün, enerji kesintisi durumlarında sistemlerin kesintisiz çalışmasını sağlamak amacıyla sürekli izlenmesi, arıza durumlarında hızlı müdahale </w:t>
            </w:r>
            <w:r>
              <w:t>edilmesi ve sistemin tekrar devreye alınması süreçlerini kapsar. Bu süreç; jeneratörün mekanik, elektriksel ve yakıt sistemlerinde oluşabilecek arızaların tespit edilmesi, giderilmesi ve sistemin sürekli çalışır durumda tutulmasını amaçlar.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Süreç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Katılımcıları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Mobese Birimi Teknik Personeli / Sistem Yöneticileri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Jeneratör alarm ve uyarıları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Enerji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kesinti durumları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Jeneratör kontrol sistemleri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Çalışır durumda jeneratör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 xml:space="preserve">Süreç </w:t>
            </w:r>
            <w:r>
              <w:rPr>
                <w:smallCaps/>
                <w:color w:val="002060"/>
                <w:sz w:val="20"/>
                <w:szCs w:val="20"/>
              </w:rPr>
              <w:t>Katılımcıları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Jeneratörün çalışma durumunun (online/offline) ve alarm bilgilerinin sistem üzerinden sürekli 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Arıza sinyali sonrası jeneratör üzerinde ön teşhis yapılması (yakıt, akü, yağ </w:t>
            </w:r>
            <w:r>
              <w:t>seviyesi, elektriksel kontroller).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Çözülemeyen arızalar için bakım firmasının sahaya çağrılması.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 durumunda yerinde müdahale edilmesi (parça değişimi,</w:t>
            </w:r>
            <w:r>
              <w:t xml:space="preserve"> bağlantı kontrolü vb.).</w:t>
            </w:r>
            <w:bookmarkStart w:id="0" w:name="_GoBack"/>
            <w:bookmarkEnd w:id="0"/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jeneratörün test edilmesi ve yük altında çalışmasının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C2423D" w:rsidRDefault="00C2423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Servis raporunun incelenerek kayıt altına alınması </w:t>
            </w:r>
            <w:r>
              <w:t>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C2423D" w:rsidRDefault="00C2423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C2423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Arıza mekanik mi yoksa elektriksel kaynaklı mı?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C2423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Arıza garanti/bakım kapsamında mı yoksa yerinde </w:t>
            </w:r>
            <w:r>
              <w:t>müdahale ile çözülebildi mi ?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Onarım sonrası jeneratör yük altında stabil çalışıyor mu? 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jc w:val="both"/>
            </w:pPr>
            <w:r>
              <w:t>Servis raporu sisteme işlendi mi?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423D" w:rsidRDefault="00A45C50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C2423D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C2423D" w:rsidRDefault="00C2423D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C2423D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C2423D" w:rsidRDefault="00A45C50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423D" w:rsidRDefault="00A45C50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C2423D" w:rsidRDefault="00C2423D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p w:rsidR="00C2423D" w:rsidRDefault="00C2423D">
      <w:pPr>
        <w:rPr>
          <w:rFonts w:ascii="Calibri" w:hAnsi="Calibri"/>
        </w:rPr>
      </w:pPr>
    </w:p>
    <w:sectPr w:rsidR="00C2423D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C50" w:rsidRDefault="00A45C50">
      <w:r>
        <w:separator/>
      </w:r>
    </w:p>
  </w:endnote>
  <w:endnote w:type="continuationSeparator" w:id="0">
    <w:p w:rsidR="00A45C50" w:rsidRDefault="00A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C50" w:rsidRDefault="00A45C50">
      <w:r>
        <w:rPr>
          <w:color w:val="000000"/>
        </w:rPr>
        <w:separator/>
      </w:r>
    </w:p>
  </w:footnote>
  <w:footnote w:type="continuationSeparator" w:id="0">
    <w:p w:rsidR="00A45C50" w:rsidRDefault="00A4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431FE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6431FE" w:rsidRDefault="00A45C50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6431FE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6431FE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6431FE" w:rsidRDefault="00A45C50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23260A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23260A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6431FE" w:rsidRDefault="00A45C50">
    <w:pPr>
      <w:pStyle w:val="stBilgi"/>
    </w:pPr>
  </w:p>
  <w:p w:rsidR="006431FE" w:rsidRDefault="00A45C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423D"/>
    <w:rsid w:val="0023260A"/>
    <w:rsid w:val="00A45C50"/>
    <w:rsid w:val="00C2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B07E-0D35-4E12-980E-3D100349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2026-03-30T09:37:00Z</dcterms:created>
  <dcterms:modified xsi:type="dcterms:W3CDTF">2026-03-30T09:37:00Z</dcterms:modified>
</cp:coreProperties>
</file>